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41C19" w14:textId="75B7CCBC" w:rsidR="002606E9" w:rsidRPr="000C5734" w:rsidRDefault="002606E9" w:rsidP="002606E9">
      <w:pPr>
        <w:pStyle w:val="3GPPHeader"/>
        <w:rPr>
          <w:highlight w:val="yellow"/>
          <w:lang w:val="en-US"/>
        </w:rPr>
      </w:pPr>
      <w:r w:rsidRPr="000C5734">
        <w:rPr>
          <w:lang w:val="en-US"/>
        </w:rPr>
        <w:t>3GPP TSG RAN WG1 Meeting</w:t>
      </w:r>
      <w:r w:rsidR="001C3615">
        <w:rPr>
          <w:lang w:val="en-US"/>
        </w:rPr>
        <w:t xml:space="preserve"> 96</w:t>
      </w:r>
      <w:r w:rsidRPr="000C5734">
        <w:rPr>
          <w:lang w:val="en-US"/>
        </w:rPr>
        <w:tab/>
      </w:r>
      <w:r w:rsidR="007510C5" w:rsidRPr="00FB68E0">
        <w:rPr>
          <w:lang w:val="en-US"/>
        </w:rPr>
        <w:t>R1-</w:t>
      </w:r>
      <w:r w:rsidR="00FB68E0" w:rsidRPr="00FB68E0">
        <w:rPr>
          <w:lang w:val="en-US"/>
        </w:rPr>
        <w:t>190</w:t>
      </w:r>
      <w:bookmarkStart w:id="0" w:name="_GoBack"/>
      <w:bookmarkEnd w:id="0"/>
      <w:r w:rsidR="00FB68E0" w:rsidRPr="00FB68E0">
        <w:rPr>
          <w:lang w:val="en-US"/>
        </w:rPr>
        <w:t>3032</w:t>
      </w:r>
    </w:p>
    <w:p w14:paraId="3F16E870" w14:textId="6D7FB3B1" w:rsidR="002606E9" w:rsidRPr="007679B0" w:rsidRDefault="00040396" w:rsidP="002606E9">
      <w:pPr>
        <w:pStyle w:val="3GPPHeader"/>
        <w:rPr>
          <w:lang w:val="en-US"/>
        </w:rPr>
      </w:pPr>
      <w:r>
        <w:rPr>
          <w:lang w:val="en-US"/>
        </w:rPr>
        <w:t>Athens</w:t>
      </w:r>
      <w:r w:rsidR="00A35F16">
        <w:rPr>
          <w:lang w:val="en-US"/>
        </w:rPr>
        <w:t xml:space="preserve">, </w:t>
      </w:r>
      <w:r>
        <w:rPr>
          <w:lang w:val="en-US"/>
        </w:rPr>
        <w:t>Greece</w:t>
      </w:r>
      <w:r w:rsidR="00A35F16">
        <w:rPr>
          <w:lang w:val="en-US"/>
        </w:rPr>
        <w:t xml:space="preserve">, </w:t>
      </w:r>
      <w:r w:rsidR="00F47C08">
        <w:rPr>
          <w:lang w:val="en-US"/>
        </w:rPr>
        <w:t xml:space="preserve">February </w:t>
      </w:r>
      <w:r>
        <w:rPr>
          <w:lang w:val="en-US"/>
        </w:rPr>
        <w:t>25</w:t>
      </w:r>
      <w:r w:rsidRPr="00040396">
        <w:rPr>
          <w:vertAlign w:val="superscript"/>
          <w:lang w:val="en-US"/>
        </w:rPr>
        <w:t>th</w:t>
      </w:r>
      <w:r>
        <w:rPr>
          <w:lang w:val="en-US"/>
        </w:rPr>
        <w:t xml:space="preserve"> </w:t>
      </w:r>
      <w:r w:rsidR="00183DD3">
        <w:rPr>
          <w:lang w:val="en-US"/>
        </w:rPr>
        <w:t>-</w:t>
      </w:r>
      <w:r>
        <w:rPr>
          <w:lang w:val="en-US"/>
        </w:rPr>
        <w:t xml:space="preserve"> </w:t>
      </w:r>
      <w:r w:rsidR="00F47C08">
        <w:rPr>
          <w:lang w:val="en-US"/>
        </w:rPr>
        <w:t>Mar</w:t>
      </w:r>
      <w:r w:rsidR="00183DD3">
        <w:rPr>
          <w:lang w:val="en-US"/>
        </w:rPr>
        <w:t>ch</w:t>
      </w:r>
      <w:r>
        <w:rPr>
          <w:lang w:val="en-US"/>
        </w:rPr>
        <w:t xml:space="preserve"> 1</w:t>
      </w:r>
      <w:r w:rsidRPr="00040396">
        <w:rPr>
          <w:vertAlign w:val="superscript"/>
          <w:lang w:val="en-US"/>
        </w:rPr>
        <w:t>st</w:t>
      </w:r>
      <w:r w:rsidR="00444E58">
        <w:rPr>
          <w:lang w:val="en-US"/>
        </w:rPr>
        <w:t>, 2019</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1D7086CA" w14:textId="24379AB3" w:rsidR="00904CFD" w:rsidRPr="00561DAC" w:rsidRDefault="00904CFD" w:rsidP="00904CFD">
      <w:pPr>
        <w:pStyle w:val="3GPPHeader"/>
      </w:pPr>
      <w:r w:rsidRPr="00327997">
        <w:t>Title:</w:t>
      </w:r>
      <w:r w:rsidRPr="00327997">
        <w:tab/>
      </w:r>
      <w:r w:rsidR="00183DD3">
        <w:rPr>
          <w:lang w:val="en-US" w:eastAsia="x-none"/>
        </w:rPr>
        <w:t xml:space="preserve">Remaining issues for </w:t>
      </w:r>
      <w:r w:rsidR="00183DD3">
        <w:rPr>
          <w:lang w:val="en-US"/>
        </w:rPr>
        <w:t xml:space="preserve">CLI measurement and reporting </w:t>
      </w:r>
    </w:p>
    <w:p w14:paraId="00EFAC0D" w14:textId="04367BE1" w:rsidR="00904CFD" w:rsidRPr="00B91755" w:rsidRDefault="00904CFD" w:rsidP="00904CFD">
      <w:pPr>
        <w:pStyle w:val="3GPPHeader"/>
        <w:rPr>
          <w:lang w:val="en-US"/>
        </w:rPr>
      </w:pPr>
      <w:r w:rsidRPr="00561DAC">
        <w:rPr>
          <w:lang w:val="en-US"/>
        </w:rPr>
        <w:t>Agenda Item:</w:t>
      </w:r>
      <w:r w:rsidRPr="00561DAC">
        <w:rPr>
          <w:lang w:val="en-US"/>
        </w:rPr>
        <w:tab/>
      </w:r>
      <w:r w:rsidR="00A7699C">
        <w:rPr>
          <w:lang w:val="en-US"/>
        </w:rPr>
        <w:t>7.2.5.1</w:t>
      </w:r>
    </w:p>
    <w:p w14:paraId="05A826A0" w14:textId="30EC42A2" w:rsidR="00904CFD" w:rsidRDefault="00904CFD" w:rsidP="00904CFD">
      <w:pPr>
        <w:pStyle w:val="3GPPHeader"/>
      </w:pPr>
      <w:r w:rsidRPr="00327997">
        <w:t>Document for:</w:t>
      </w:r>
      <w:r w:rsidRPr="00327997">
        <w:tab/>
      </w:r>
      <w:r>
        <w:t>Discussion and</w:t>
      </w:r>
      <w:r w:rsidRPr="009C6832">
        <w:t xml:space="preserve"> Decision</w:t>
      </w:r>
    </w:p>
    <w:p w14:paraId="72C50C9A" w14:textId="0C81624A" w:rsidR="00C42BF1" w:rsidRDefault="00C42BF1" w:rsidP="00904CFD">
      <w:pPr>
        <w:pStyle w:val="3GPPHeader"/>
      </w:pPr>
    </w:p>
    <w:p w14:paraId="72B2365A" w14:textId="77777777" w:rsidR="00E90E49" w:rsidRPr="00CE0424" w:rsidRDefault="007F75D5" w:rsidP="00CE0424">
      <w:pPr>
        <w:pStyle w:val="Heading1"/>
      </w:pPr>
      <w:r>
        <w:t>Introduction</w:t>
      </w:r>
    </w:p>
    <w:p w14:paraId="25DD9474" w14:textId="1CD94488" w:rsidR="00A7699C" w:rsidRDefault="005B46B3" w:rsidP="001F1BEF">
      <w:pPr>
        <w:pStyle w:val="BodyText"/>
        <w:spacing w:before="240"/>
      </w:pPr>
      <w:r>
        <w:t xml:space="preserve">In </w:t>
      </w:r>
      <w:r w:rsidR="005F48B0">
        <w:t xml:space="preserve">RAN1 Ad-Hoc meeting 1901 in Taipei, it was agreed that both RSSI and </w:t>
      </w:r>
      <w:r w:rsidR="00937443">
        <w:t>SRS-</w:t>
      </w:r>
      <w:r w:rsidR="005F48B0">
        <w:t xml:space="preserve">RSRP for CLI </w:t>
      </w:r>
      <w:r w:rsidR="00937443">
        <w:t xml:space="preserve">measurement </w:t>
      </w:r>
      <w:r>
        <w:t>is</w:t>
      </w:r>
      <w:r w:rsidR="005F48B0">
        <w:t xml:space="preserve"> supported</w:t>
      </w:r>
      <w:r w:rsidR="00787FA7">
        <w:t>, and the following agreements were reached:</w:t>
      </w:r>
    </w:p>
    <w:p w14:paraId="0927DF8B" w14:textId="77777777" w:rsidR="005B46B3" w:rsidRPr="00C20901" w:rsidRDefault="005B46B3" w:rsidP="005B46B3">
      <w:pPr>
        <w:rPr>
          <w:b/>
          <w:szCs w:val="28"/>
          <w:highlight w:val="green"/>
          <w:lang w:eastAsia="x-none"/>
        </w:rPr>
      </w:pPr>
      <w:r w:rsidRPr="00C20901">
        <w:rPr>
          <w:b/>
          <w:szCs w:val="28"/>
          <w:highlight w:val="green"/>
          <w:lang w:eastAsia="x-none"/>
        </w:rPr>
        <w:t>Agreement</w:t>
      </w:r>
    </w:p>
    <w:p w14:paraId="59B79C0E" w14:textId="77777777" w:rsidR="005B46B3" w:rsidRDefault="005B46B3" w:rsidP="005B46B3">
      <w:pPr>
        <w:rPr>
          <w:szCs w:val="28"/>
          <w:lang w:eastAsia="x-none"/>
        </w:rPr>
      </w:pPr>
      <w:r w:rsidRPr="00C20901">
        <w:rPr>
          <w:szCs w:val="28"/>
          <w:lang w:eastAsia="x-none"/>
        </w:rPr>
        <w:t>The following CLI measurements are supported:</w:t>
      </w:r>
    </w:p>
    <w:p w14:paraId="73EAA6A4" w14:textId="77777777" w:rsidR="005B46B3" w:rsidRPr="00137491" w:rsidRDefault="005B46B3" w:rsidP="005B46B3">
      <w:pPr>
        <w:pStyle w:val="ListParagraph"/>
        <w:numPr>
          <w:ilvl w:val="0"/>
          <w:numId w:val="23"/>
        </w:numPr>
        <w:spacing w:after="0"/>
        <w:ind w:left="720"/>
        <w:contextualSpacing w:val="0"/>
        <w:rPr>
          <w:color w:val="000000"/>
          <w:szCs w:val="21"/>
          <w:lang w:eastAsia="zh-CN"/>
        </w:rPr>
      </w:pPr>
      <w:r w:rsidRPr="00137491">
        <w:rPr>
          <w:color w:val="000000"/>
          <w:szCs w:val="21"/>
          <w:lang w:eastAsia="zh-CN"/>
        </w:rPr>
        <w:t>SRS-RSRP:</w:t>
      </w:r>
    </w:p>
    <w:p w14:paraId="0C07CE74" w14:textId="77777777" w:rsidR="005B46B3" w:rsidRDefault="005B46B3" w:rsidP="005B46B3">
      <w:pPr>
        <w:numPr>
          <w:ilvl w:val="1"/>
          <w:numId w:val="22"/>
        </w:numPr>
        <w:overflowPunct/>
        <w:autoSpaceDE/>
        <w:autoSpaceDN/>
        <w:adjustRightInd/>
        <w:spacing w:after="0"/>
        <w:jc w:val="left"/>
        <w:textAlignment w:val="auto"/>
        <w:rPr>
          <w:szCs w:val="28"/>
          <w:lang w:eastAsia="x-none"/>
        </w:rPr>
      </w:pPr>
      <w:r w:rsidRPr="00C20901">
        <w:rPr>
          <w:szCs w:val="28"/>
          <w:lang w:eastAsia="x-none"/>
        </w:rPr>
        <w:t>Linear average of the power contributions of the SRS to be measured over the configured resource elements within the considered measurement frequency bandwidth in the time resources in the configured measurement occasions</w:t>
      </w:r>
    </w:p>
    <w:p w14:paraId="2287E8C5" w14:textId="77777777" w:rsidR="005B46B3" w:rsidRPr="00137491" w:rsidRDefault="005B46B3" w:rsidP="005B46B3">
      <w:pPr>
        <w:pStyle w:val="ListParagraph"/>
        <w:numPr>
          <w:ilvl w:val="0"/>
          <w:numId w:val="23"/>
        </w:numPr>
        <w:spacing w:after="0"/>
        <w:ind w:left="720"/>
        <w:contextualSpacing w:val="0"/>
        <w:rPr>
          <w:color w:val="000000"/>
          <w:szCs w:val="21"/>
          <w:lang w:eastAsia="zh-CN"/>
        </w:rPr>
      </w:pPr>
      <w:r w:rsidRPr="00137491">
        <w:rPr>
          <w:color w:val="000000"/>
          <w:szCs w:val="21"/>
          <w:lang w:eastAsia="zh-CN"/>
        </w:rPr>
        <w:t>RSSI:</w:t>
      </w:r>
    </w:p>
    <w:p w14:paraId="52F9A2FC" w14:textId="77777777" w:rsidR="005B46B3" w:rsidRPr="007207D2" w:rsidRDefault="005B46B3" w:rsidP="005B46B3">
      <w:pPr>
        <w:numPr>
          <w:ilvl w:val="1"/>
          <w:numId w:val="22"/>
        </w:numPr>
        <w:overflowPunct/>
        <w:autoSpaceDE/>
        <w:autoSpaceDN/>
        <w:adjustRightInd/>
        <w:spacing w:after="0"/>
        <w:jc w:val="left"/>
        <w:textAlignment w:val="auto"/>
        <w:rPr>
          <w:szCs w:val="28"/>
          <w:lang w:eastAsia="x-none"/>
        </w:rPr>
      </w:pPr>
      <w:r w:rsidRPr="00C20901">
        <w:rPr>
          <w:szCs w:val="28"/>
          <w:lang w:eastAsia="x-none"/>
        </w:rPr>
        <w:t>The linear average of the total received power observed only in certain OFDM symbols of measurement time resource(s), in the measurement bandwidth, over the configured resource elements for measurement by the UE</w:t>
      </w:r>
    </w:p>
    <w:p w14:paraId="4DEE7A15" w14:textId="77777777" w:rsidR="005B46B3" w:rsidRPr="00C20901" w:rsidRDefault="005B46B3" w:rsidP="005B46B3">
      <w:pPr>
        <w:rPr>
          <w:szCs w:val="28"/>
          <w:lang w:eastAsia="x-none"/>
        </w:rPr>
      </w:pPr>
      <w:r w:rsidRPr="00C20901">
        <w:rPr>
          <w:szCs w:val="28"/>
          <w:lang w:eastAsia="x-none"/>
        </w:rPr>
        <w:t>For SRS-RSRP</w:t>
      </w:r>
      <w:r>
        <w:rPr>
          <w:szCs w:val="28"/>
          <w:lang w:eastAsia="x-none"/>
        </w:rPr>
        <w:t>:</w:t>
      </w:r>
    </w:p>
    <w:p w14:paraId="50CE5DFB" w14:textId="77777777" w:rsidR="005B46B3" w:rsidRPr="00137491" w:rsidRDefault="005B46B3" w:rsidP="005B46B3">
      <w:pPr>
        <w:pStyle w:val="ListParagraph"/>
        <w:numPr>
          <w:ilvl w:val="0"/>
          <w:numId w:val="23"/>
        </w:numPr>
        <w:spacing w:after="0"/>
        <w:ind w:left="720"/>
        <w:contextualSpacing w:val="0"/>
        <w:rPr>
          <w:color w:val="000000"/>
          <w:szCs w:val="21"/>
          <w:lang w:eastAsia="zh-CN"/>
        </w:rPr>
      </w:pPr>
      <w:r w:rsidRPr="00137491">
        <w:rPr>
          <w:color w:val="000000"/>
          <w:szCs w:val="21"/>
          <w:lang w:eastAsia="zh-CN"/>
        </w:rPr>
        <w:t>The number of SRS to be monitored by the UE should not exceed 8 within a slot</w:t>
      </w:r>
    </w:p>
    <w:p w14:paraId="17F844AC" w14:textId="77777777" w:rsidR="005B46B3" w:rsidRPr="00C20901" w:rsidRDefault="005B46B3" w:rsidP="005B46B3">
      <w:pPr>
        <w:numPr>
          <w:ilvl w:val="1"/>
          <w:numId w:val="22"/>
        </w:numPr>
        <w:tabs>
          <w:tab w:val="left" w:pos="630"/>
        </w:tabs>
        <w:overflowPunct/>
        <w:autoSpaceDE/>
        <w:autoSpaceDN/>
        <w:adjustRightInd/>
        <w:spacing w:after="0"/>
        <w:jc w:val="left"/>
        <w:textAlignment w:val="auto"/>
        <w:rPr>
          <w:szCs w:val="28"/>
        </w:rPr>
      </w:pPr>
      <w:r w:rsidRPr="00C20901">
        <w:rPr>
          <w:szCs w:val="28"/>
        </w:rPr>
        <w:t>Network may configure more than 8 SRSs over different slots</w:t>
      </w:r>
    </w:p>
    <w:p w14:paraId="2A6F2FD6" w14:textId="77777777" w:rsidR="005B46B3" w:rsidRPr="00C20901" w:rsidRDefault="005B46B3" w:rsidP="005B46B3">
      <w:pPr>
        <w:numPr>
          <w:ilvl w:val="1"/>
          <w:numId w:val="22"/>
        </w:numPr>
        <w:tabs>
          <w:tab w:val="left" w:pos="630"/>
        </w:tabs>
        <w:overflowPunct/>
        <w:autoSpaceDE/>
        <w:autoSpaceDN/>
        <w:adjustRightInd/>
        <w:spacing w:after="0"/>
        <w:jc w:val="left"/>
        <w:textAlignment w:val="auto"/>
        <w:rPr>
          <w:szCs w:val="28"/>
        </w:rPr>
      </w:pPr>
      <w:r w:rsidRPr="00C20901">
        <w:rPr>
          <w:szCs w:val="28"/>
        </w:rPr>
        <w:t>The total number of SRSs to be monitored by a UE should not exceed [32]</w:t>
      </w:r>
    </w:p>
    <w:p w14:paraId="068AE4CF" w14:textId="77777777" w:rsidR="005B46B3" w:rsidRPr="00137491" w:rsidRDefault="005B46B3" w:rsidP="005B46B3">
      <w:pPr>
        <w:pStyle w:val="ListParagraph"/>
        <w:numPr>
          <w:ilvl w:val="0"/>
          <w:numId w:val="23"/>
        </w:numPr>
        <w:spacing w:after="0"/>
        <w:ind w:left="720"/>
        <w:contextualSpacing w:val="0"/>
        <w:rPr>
          <w:color w:val="000000"/>
          <w:szCs w:val="21"/>
          <w:lang w:eastAsia="zh-CN"/>
        </w:rPr>
      </w:pPr>
      <w:r w:rsidRPr="00137491">
        <w:rPr>
          <w:color w:val="000000"/>
          <w:szCs w:val="21"/>
          <w:lang w:eastAsia="zh-CN"/>
        </w:rPr>
        <w:t>The UE is not required to perform time tracking or time adjustment other than a constant offset relative to its own DL timing in order to perform SRS-RSRP measurement</w:t>
      </w:r>
    </w:p>
    <w:p w14:paraId="1978984B" w14:textId="77777777" w:rsidR="005B46B3" w:rsidRPr="00E3782E" w:rsidRDefault="005B46B3" w:rsidP="005B46B3">
      <w:pPr>
        <w:numPr>
          <w:ilvl w:val="1"/>
          <w:numId w:val="22"/>
        </w:numPr>
        <w:tabs>
          <w:tab w:val="left" w:pos="630"/>
        </w:tabs>
        <w:overflowPunct/>
        <w:autoSpaceDE/>
        <w:autoSpaceDN/>
        <w:adjustRightInd/>
        <w:spacing w:after="0"/>
        <w:jc w:val="left"/>
        <w:textAlignment w:val="auto"/>
        <w:rPr>
          <w:szCs w:val="28"/>
          <w:highlight w:val="cyan"/>
        </w:rPr>
      </w:pPr>
      <w:r w:rsidRPr="00E3782E">
        <w:rPr>
          <w:szCs w:val="28"/>
          <w:highlight w:val="cyan"/>
        </w:rPr>
        <w:t>FFS: Details on how the constant offset is derived by the UE. The constant offset of 0 is not precluded.</w:t>
      </w:r>
    </w:p>
    <w:p w14:paraId="42772679" w14:textId="77777777" w:rsidR="005B46B3" w:rsidRPr="00E3782E" w:rsidRDefault="005B46B3" w:rsidP="005B46B3">
      <w:pPr>
        <w:numPr>
          <w:ilvl w:val="1"/>
          <w:numId w:val="22"/>
        </w:numPr>
        <w:tabs>
          <w:tab w:val="left" w:pos="630"/>
        </w:tabs>
        <w:overflowPunct/>
        <w:autoSpaceDE/>
        <w:autoSpaceDN/>
        <w:adjustRightInd/>
        <w:spacing w:after="0"/>
        <w:jc w:val="left"/>
        <w:textAlignment w:val="auto"/>
        <w:rPr>
          <w:szCs w:val="28"/>
          <w:highlight w:val="cyan"/>
        </w:rPr>
      </w:pPr>
      <w:r w:rsidRPr="00E3782E">
        <w:rPr>
          <w:szCs w:val="28"/>
          <w:highlight w:val="cyan"/>
        </w:rPr>
        <w:t>FFS: Whether or not to have measurement accuracy relaxation</w:t>
      </w:r>
    </w:p>
    <w:p w14:paraId="700BD6C2" w14:textId="77777777" w:rsidR="005B46B3" w:rsidRPr="00E3782E" w:rsidRDefault="005B46B3" w:rsidP="005B46B3">
      <w:pPr>
        <w:numPr>
          <w:ilvl w:val="1"/>
          <w:numId w:val="22"/>
        </w:numPr>
        <w:tabs>
          <w:tab w:val="left" w:pos="630"/>
        </w:tabs>
        <w:overflowPunct/>
        <w:autoSpaceDE/>
        <w:autoSpaceDN/>
        <w:adjustRightInd/>
        <w:spacing w:after="0"/>
        <w:jc w:val="left"/>
        <w:textAlignment w:val="auto"/>
        <w:rPr>
          <w:szCs w:val="28"/>
          <w:highlight w:val="cyan"/>
        </w:rPr>
      </w:pPr>
      <w:r w:rsidRPr="00E3782E">
        <w:rPr>
          <w:szCs w:val="28"/>
          <w:highlight w:val="cyan"/>
        </w:rPr>
        <w:t>FFS: Timing for the transmission point of view</w:t>
      </w:r>
    </w:p>
    <w:p w14:paraId="113AB269" w14:textId="46F6E884" w:rsidR="005B46B3" w:rsidRDefault="005B46B3" w:rsidP="005B46B3">
      <w:pPr>
        <w:pStyle w:val="ListParagraph"/>
        <w:numPr>
          <w:ilvl w:val="0"/>
          <w:numId w:val="23"/>
        </w:numPr>
        <w:spacing w:after="0"/>
        <w:ind w:left="720"/>
        <w:contextualSpacing w:val="0"/>
        <w:rPr>
          <w:color w:val="000000"/>
          <w:szCs w:val="21"/>
          <w:lang w:eastAsia="zh-CN"/>
        </w:rPr>
      </w:pPr>
      <w:r w:rsidRPr="00137491">
        <w:rPr>
          <w:color w:val="000000"/>
          <w:szCs w:val="21"/>
          <w:lang w:eastAsia="zh-CN"/>
        </w:rPr>
        <w:t>UE is not required to measure SRS using different SCS compared to the downlink active BWP SCS of the same carrier</w:t>
      </w:r>
    </w:p>
    <w:p w14:paraId="0942F8DB" w14:textId="77777777" w:rsidR="00212E34" w:rsidRPr="00E3782E" w:rsidRDefault="00212E34" w:rsidP="00E3782E">
      <w:pPr>
        <w:spacing w:after="0"/>
        <w:ind w:left="360"/>
        <w:rPr>
          <w:color w:val="000000"/>
          <w:szCs w:val="21"/>
        </w:rPr>
      </w:pPr>
    </w:p>
    <w:p w14:paraId="4FDA97DE" w14:textId="77777777" w:rsidR="00212E34" w:rsidRPr="009205A3" w:rsidRDefault="00212E34" w:rsidP="00212E34">
      <w:pPr>
        <w:rPr>
          <w:b/>
          <w:szCs w:val="22"/>
          <w:highlight w:val="green"/>
          <w:lang w:eastAsia="ko-KR"/>
        </w:rPr>
      </w:pPr>
      <w:r w:rsidRPr="009205A3">
        <w:rPr>
          <w:b/>
          <w:szCs w:val="22"/>
          <w:highlight w:val="green"/>
          <w:lang w:eastAsia="ko-KR"/>
        </w:rPr>
        <w:t>Agreement</w:t>
      </w:r>
    </w:p>
    <w:p w14:paraId="10011238" w14:textId="77777777" w:rsidR="00212E34" w:rsidRPr="009205A3" w:rsidRDefault="00212E34" w:rsidP="00212E34">
      <w:pPr>
        <w:rPr>
          <w:rFonts w:eastAsia="Malgun Gothic"/>
        </w:rPr>
      </w:pPr>
      <w:r w:rsidRPr="009205A3">
        <w:rPr>
          <w:rFonts w:eastAsia="Malgun Gothic"/>
          <w:lang w:val="en-US" w:eastAsia="ko-KR"/>
        </w:rPr>
        <w:t xml:space="preserve">Measurement resource for SRS-RSRP measurement is configured by </w:t>
      </w:r>
      <w:r w:rsidRPr="009205A3">
        <w:rPr>
          <w:rFonts w:eastAsia="Malgun Gothic"/>
        </w:rPr>
        <w:t>SRS resource configuration.</w:t>
      </w:r>
    </w:p>
    <w:p w14:paraId="14249768" w14:textId="77777777" w:rsidR="00212E34" w:rsidRPr="00E3782E" w:rsidRDefault="00212E34" w:rsidP="00212E34">
      <w:pPr>
        <w:rPr>
          <w:rFonts w:eastAsia="Malgun Gothic"/>
          <w:szCs w:val="22"/>
          <w:highlight w:val="cyan"/>
        </w:rPr>
      </w:pPr>
      <w:r w:rsidRPr="00E3782E">
        <w:rPr>
          <w:rFonts w:eastAsia="Malgun Gothic"/>
          <w:szCs w:val="22"/>
          <w:highlight w:val="cyan"/>
        </w:rPr>
        <w:t>FFS: Whether REs for PDSCH is rate matched around the REs for SRS for SRS-RSRP measurement or not.</w:t>
      </w:r>
    </w:p>
    <w:p w14:paraId="5AD138F0" w14:textId="77777777" w:rsidR="00212E34" w:rsidRPr="009205A3" w:rsidRDefault="00212E34" w:rsidP="00212E34">
      <w:pPr>
        <w:rPr>
          <w:rFonts w:eastAsia="Malgun Gothic"/>
          <w:szCs w:val="22"/>
        </w:rPr>
      </w:pPr>
      <w:r w:rsidRPr="00E3782E">
        <w:rPr>
          <w:rFonts w:eastAsia="Malgun Gothic"/>
          <w:szCs w:val="22"/>
          <w:highlight w:val="cyan"/>
        </w:rPr>
        <w:t>FFS: Whether OFDM symbol(s) for PDSCH is rate-matched or not.</w:t>
      </w:r>
    </w:p>
    <w:p w14:paraId="278225F5" w14:textId="77777777" w:rsidR="00212E34" w:rsidRPr="00E3782E" w:rsidRDefault="00212E34" w:rsidP="00212E34">
      <w:pPr>
        <w:numPr>
          <w:ilvl w:val="0"/>
          <w:numId w:val="24"/>
        </w:numPr>
        <w:overflowPunct/>
        <w:autoSpaceDE/>
        <w:autoSpaceDN/>
        <w:adjustRightInd/>
        <w:spacing w:after="0"/>
        <w:jc w:val="left"/>
        <w:textAlignment w:val="auto"/>
        <w:rPr>
          <w:rFonts w:eastAsia="Malgun Gothic"/>
          <w:szCs w:val="22"/>
          <w:highlight w:val="cyan"/>
        </w:rPr>
      </w:pPr>
      <w:r w:rsidRPr="00E3782E">
        <w:rPr>
          <w:rFonts w:eastAsia="Malgun Gothic"/>
          <w:szCs w:val="22"/>
          <w:highlight w:val="cyan"/>
        </w:rPr>
        <w:t>Note: If Rel-15 already supports this functionality, no additional specification support will be introduced</w:t>
      </w:r>
    </w:p>
    <w:p w14:paraId="00B635B8" w14:textId="77777777" w:rsidR="00937443" w:rsidRDefault="00937443" w:rsidP="00787FA7">
      <w:pPr>
        <w:rPr>
          <w:b/>
          <w:szCs w:val="22"/>
          <w:highlight w:val="green"/>
          <w:lang w:eastAsia="ko-KR"/>
        </w:rPr>
      </w:pPr>
    </w:p>
    <w:p w14:paraId="300BB3EB" w14:textId="1A351012" w:rsidR="00787FA7" w:rsidRPr="006374C3" w:rsidRDefault="00787FA7" w:rsidP="00787FA7">
      <w:pPr>
        <w:rPr>
          <w:b/>
          <w:szCs w:val="22"/>
          <w:highlight w:val="green"/>
          <w:lang w:eastAsia="ko-KR"/>
        </w:rPr>
      </w:pPr>
      <w:r w:rsidRPr="006374C3">
        <w:rPr>
          <w:b/>
          <w:szCs w:val="22"/>
          <w:highlight w:val="green"/>
          <w:lang w:eastAsia="ko-KR"/>
        </w:rPr>
        <w:t>Agreement</w:t>
      </w:r>
    </w:p>
    <w:p w14:paraId="4C0202DB" w14:textId="77777777" w:rsidR="00787FA7" w:rsidRPr="006374C3" w:rsidRDefault="00787FA7" w:rsidP="00787FA7">
      <w:pPr>
        <w:ind w:left="258" w:hangingChars="129" w:hanging="258"/>
        <w:rPr>
          <w:rFonts w:eastAsia="Malgun Gothic"/>
          <w:lang w:val="en-US" w:eastAsia="ko-KR"/>
        </w:rPr>
      </w:pPr>
      <w:r w:rsidRPr="006374C3">
        <w:rPr>
          <w:rFonts w:eastAsia="Malgun Gothic"/>
          <w:lang w:val="en-US" w:eastAsia="ko-KR"/>
        </w:rPr>
        <w:t>For</w:t>
      </w:r>
      <w:r w:rsidRPr="006374C3">
        <w:rPr>
          <w:rFonts w:eastAsia="Malgun Gothic" w:hint="eastAsia"/>
          <w:lang w:val="en-US" w:eastAsia="ko-KR"/>
        </w:rPr>
        <w:t xml:space="preserve"> </w:t>
      </w:r>
      <w:r w:rsidRPr="006374C3">
        <w:rPr>
          <w:rFonts w:eastAsia="Malgun Gothic"/>
          <w:lang w:val="en-US" w:eastAsia="ko-KR"/>
        </w:rPr>
        <w:t>measurement resource for RSSI measurement is configured by</w:t>
      </w:r>
    </w:p>
    <w:p w14:paraId="04346627" w14:textId="77777777" w:rsidR="00787FA7" w:rsidRPr="00137491" w:rsidRDefault="00787FA7" w:rsidP="00787FA7">
      <w:pPr>
        <w:pStyle w:val="ListParagraph"/>
        <w:numPr>
          <w:ilvl w:val="0"/>
          <w:numId w:val="23"/>
        </w:numPr>
        <w:spacing w:after="0"/>
        <w:ind w:left="720"/>
        <w:contextualSpacing w:val="0"/>
        <w:rPr>
          <w:color w:val="000000"/>
          <w:szCs w:val="21"/>
          <w:lang w:eastAsia="zh-CN"/>
        </w:rPr>
      </w:pPr>
      <w:r w:rsidRPr="00137491">
        <w:rPr>
          <w:color w:val="000000"/>
          <w:szCs w:val="21"/>
          <w:lang w:eastAsia="zh-CN"/>
        </w:rPr>
        <w:t>Symbol-level indication (e.g. starting OS and ending OS) and PRB level indication (e.g., starting PRB and ending PRB) within downlink active BWP</w:t>
      </w:r>
    </w:p>
    <w:p w14:paraId="12A84275" w14:textId="77777777" w:rsidR="00937443" w:rsidRDefault="00937443" w:rsidP="007B32CF">
      <w:pPr>
        <w:ind w:left="258" w:hangingChars="129" w:hanging="258"/>
        <w:rPr>
          <w:rFonts w:eastAsia="Malgun Gothic"/>
          <w:b/>
          <w:szCs w:val="22"/>
          <w:highlight w:val="green"/>
          <w:lang w:val="en-US" w:eastAsia="ko-KR"/>
        </w:rPr>
      </w:pPr>
    </w:p>
    <w:p w14:paraId="0E8672B4" w14:textId="77777777" w:rsidR="00937443" w:rsidRDefault="00937443" w:rsidP="007B32CF">
      <w:pPr>
        <w:ind w:left="258" w:hangingChars="129" w:hanging="258"/>
        <w:rPr>
          <w:rFonts w:eastAsia="Malgun Gothic"/>
          <w:b/>
          <w:szCs w:val="22"/>
          <w:highlight w:val="green"/>
          <w:lang w:val="en-US" w:eastAsia="ko-KR"/>
        </w:rPr>
      </w:pPr>
    </w:p>
    <w:p w14:paraId="074468D0" w14:textId="5C0A3454" w:rsidR="007B32CF" w:rsidRPr="00E543DF" w:rsidRDefault="007B32CF" w:rsidP="007B32CF">
      <w:pPr>
        <w:ind w:left="258" w:hangingChars="129" w:hanging="258"/>
        <w:rPr>
          <w:rFonts w:eastAsia="Malgun Gothic"/>
          <w:b/>
          <w:szCs w:val="22"/>
          <w:highlight w:val="green"/>
          <w:lang w:val="en-US" w:eastAsia="ko-KR"/>
        </w:rPr>
      </w:pPr>
      <w:r w:rsidRPr="00E543DF">
        <w:rPr>
          <w:rFonts w:eastAsia="Malgun Gothic"/>
          <w:b/>
          <w:szCs w:val="22"/>
          <w:highlight w:val="green"/>
          <w:lang w:val="en-US" w:eastAsia="ko-KR"/>
        </w:rPr>
        <w:lastRenderedPageBreak/>
        <w:t>Agreement</w:t>
      </w:r>
    </w:p>
    <w:p w14:paraId="6675A8C2" w14:textId="77777777" w:rsidR="007B32CF" w:rsidRPr="00775797" w:rsidRDefault="007B32CF" w:rsidP="007B32CF">
      <w:pPr>
        <w:ind w:left="258" w:hangingChars="129" w:hanging="258"/>
        <w:rPr>
          <w:rFonts w:eastAsia="Malgun Gothic"/>
          <w:szCs w:val="22"/>
          <w:lang w:val="en-US" w:eastAsia="ko-KR"/>
        </w:rPr>
      </w:pPr>
      <w:r w:rsidRPr="00775797">
        <w:rPr>
          <w:rFonts w:eastAsia="Malgun Gothic" w:hint="eastAsia"/>
          <w:szCs w:val="22"/>
          <w:lang w:val="en-US" w:eastAsia="ko-KR"/>
        </w:rPr>
        <w:t xml:space="preserve">For </w:t>
      </w:r>
      <w:r w:rsidRPr="00775797">
        <w:rPr>
          <w:rFonts w:eastAsia="Malgun Gothic"/>
          <w:szCs w:val="22"/>
          <w:lang w:val="en-US" w:eastAsia="ko-KR"/>
        </w:rPr>
        <w:t>SRS-RSRP measurement report,</w:t>
      </w:r>
      <w:r w:rsidRPr="00775797">
        <w:rPr>
          <w:rFonts w:eastAsia="Malgun Gothic"/>
          <w:szCs w:val="22"/>
        </w:rPr>
        <w:t xml:space="preserve"> L3 measurement reporting is applied</w:t>
      </w:r>
    </w:p>
    <w:p w14:paraId="5F509936" w14:textId="77777777" w:rsidR="007B32CF" w:rsidRPr="006F42B2" w:rsidRDefault="007B32CF" w:rsidP="007B32CF">
      <w:pPr>
        <w:rPr>
          <w:b/>
          <w:highlight w:val="green"/>
          <w:lang w:eastAsia="ko-KR"/>
        </w:rPr>
      </w:pPr>
      <w:r w:rsidRPr="006F42B2">
        <w:rPr>
          <w:b/>
          <w:highlight w:val="green"/>
          <w:lang w:eastAsia="ko-KR"/>
        </w:rPr>
        <w:t>Agreement</w:t>
      </w:r>
    </w:p>
    <w:p w14:paraId="32128376" w14:textId="77777777" w:rsidR="007B32CF" w:rsidRPr="006F42B2" w:rsidRDefault="007B32CF" w:rsidP="007B32CF">
      <w:pPr>
        <w:ind w:left="258" w:hangingChars="129" w:hanging="258"/>
        <w:rPr>
          <w:rFonts w:eastAsia="Malgun Gothic"/>
          <w:lang w:val="en-US" w:eastAsia="ko-KR"/>
        </w:rPr>
      </w:pPr>
      <w:r w:rsidRPr="006F42B2">
        <w:rPr>
          <w:rFonts w:eastAsia="Malgun Gothic"/>
          <w:lang w:val="en-US" w:eastAsia="ko-KR"/>
        </w:rPr>
        <w:t xml:space="preserve">For CLI-RSSI, </w:t>
      </w:r>
      <w:r w:rsidRPr="006F42B2">
        <w:rPr>
          <w:rFonts w:eastAsia="Malgun Gothic"/>
        </w:rPr>
        <w:t>L3 measurement reporting is applied</w:t>
      </w:r>
    </w:p>
    <w:p w14:paraId="0B4A0D5A" w14:textId="77777777" w:rsidR="007B32CF" w:rsidRPr="00137491" w:rsidRDefault="007B32CF" w:rsidP="007B32CF">
      <w:pPr>
        <w:pStyle w:val="ListParagraph"/>
        <w:numPr>
          <w:ilvl w:val="0"/>
          <w:numId w:val="23"/>
        </w:numPr>
        <w:spacing w:after="0"/>
        <w:ind w:left="720"/>
        <w:contextualSpacing w:val="0"/>
        <w:rPr>
          <w:color w:val="000000"/>
          <w:szCs w:val="21"/>
          <w:lang w:eastAsia="zh-CN"/>
        </w:rPr>
      </w:pPr>
      <w:r w:rsidRPr="00137491">
        <w:rPr>
          <w:color w:val="000000"/>
          <w:szCs w:val="21"/>
          <w:lang w:eastAsia="zh-CN"/>
        </w:rPr>
        <w:t>FFS: Whether SRS-RSRP measurement report and CLI-RSSI measurement report can be configured together for a UE</w:t>
      </w:r>
    </w:p>
    <w:p w14:paraId="32EEF41D" w14:textId="77777777" w:rsidR="007B32CF" w:rsidRPr="00137491" w:rsidRDefault="007B32CF" w:rsidP="007B32CF">
      <w:pPr>
        <w:pStyle w:val="ListParagraph"/>
        <w:numPr>
          <w:ilvl w:val="1"/>
          <w:numId w:val="23"/>
        </w:numPr>
        <w:spacing w:after="0"/>
        <w:ind w:left="1440"/>
        <w:contextualSpacing w:val="0"/>
        <w:rPr>
          <w:color w:val="000000"/>
          <w:szCs w:val="21"/>
          <w:lang w:eastAsia="zh-CN"/>
        </w:rPr>
      </w:pPr>
      <w:r w:rsidRPr="00137491">
        <w:rPr>
          <w:color w:val="000000"/>
          <w:szCs w:val="21"/>
          <w:lang w:eastAsia="zh-CN"/>
        </w:rPr>
        <w:t>Whether UE should be required to perform SRS-RSRP measurement and CLI-RSSI measurement simultaneously</w:t>
      </w:r>
    </w:p>
    <w:p w14:paraId="1417BBC7" w14:textId="77777777" w:rsidR="007B32CF" w:rsidRPr="006F42B2" w:rsidRDefault="007B32CF" w:rsidP="007B32CF">
      <w:pPr>
        <w:pStyle w:val="ListParagraph"/>
        <w:ind w:left="0"/>
        <w:rPr>
          <w:rFonts w:ascii="Times New Roman" w:eastAsia="Malgun Gothic" w:hAnsi="Times New Roman"/>
          <w:szCs w:val="20"/>
        </w:rPr>
      </w:pPr>
    </w:p>
    <w:p w14:paraId="6D8B8074" w14:textId="77777777" w:rsidR="007B32CF" w:rsidRPr="006F42B2" w:rsidRDefault="007B32CF" w:rsidP="007B32CF">
      <w:pPr>
        <w:rPr>
          <w:b/>
          <w:highlight w:val="green"/>
          <w:lang w:eastAsia="ko-KR"/>
        </w:rPr>
      </w:pPr>
      <w:r w:rsidRPr="006F42B2">
        <w:rPr>
          <w:b/>
          <w:highlight w:val="green"/>
          <w:lang w:eastAsia="ko-KR"/>
        </w:rPr>
        <w:t>Agreement</w:t>
      </w:r>
    </w:p>
    <w:p w14:paraId="1BCBE711" w14:textId="77777777" w:rsidR="007B32CF" w:rsidRPr="00B75EB6" w:rsidRDefault="007B32CF" w:rsidP="007B32CF">
      <w:pPr>
        <w:rPr>
          <w:rFonts w:eastAsia="Malgun Gothic"/>
          <w:szCs w:val="22"/>
          <w:lang w:val="en-US" w:eastAsia="ko-KR"/>
        </w:rPr>
      </w:pPr>
      <w:r w:rsidRPr="00B75EB6">
        <w:rPr>
          <w:rFonts w:eastAsia="Malgun Gothic"/>
          <w:szCs w:val="22"/>
          <w:lang w:eastAsia="ko-KR"/>
        </w:rPr>
        <w:t>For</w:t>
      </w:r>
      <w:r w:rsidRPr="00B75EB6">
        <w:rPr>
          <w:rFonts w:eastAsia="Malgun Gothic"/>
          <w:szCs w:val="22"/>
          <w:lang w:val="en-US" w:eastAsia="ko-KR"/>
        </w:rPr>
        <w:t xml:space="preserve"> L3 measurement reporting of RSSI/SRS-RSRP, the specification detail on the reporting and </w:t>
      </w:r>
      <w:r w:rsidRPr="00B75EB6">
        <w:rPr>
          <w:rFonts w:eastAsia="Malgun Gothic"/>
          <w:szCs w:val="22"/>
          <w:lang w:eastAsia="ko-KR"/>
        </w:rPr>
        <w:t>triggering</w:t>
      </w:r>
      <w:r w:rsidRPr="00B75EB6">
        <w:rPr>
          <w:rFonts w:eastAsia="Malgun Gothic"/>
          <w:szCs w:val="22"/>
          <w:lang w:val="en-US" w:eastAsia="ko-KR"/>
        </w:rPr>
        <w:t xml:space="preserve"> mechanism is discussed in RAN2</w:t>
      </w:r>
    </w:p>
    <w:p w14:paraId="786C33A4" w14:textId="5626CA74" w:rsidR="007B32CF" w:rsidRPr="000E7096" w:rsidRDefault="007B32CF" w:rsidP="007B32CF">
      <w:pPr>
        <w:numPr>
          <w:ilvl w:val="0"/>
          <w:numId w:val="24"/>
        </w:numPr>
        <w:overflowPunct/>
        <w:autoSpaceDE/>
        <w:autoSpaceDN/>
        <w:adjustRightInd/>
        <w:spacing w:after="0"/>
        <w:jc w:val="left"/>
        <w:textAlignment w:val="auto"/>
        <w:rPr>
          <w:rFonts w:eastAsia="Malgun Gothic"/>
          <w:szCs w:val="22"/>
          <w:lang w:eastAsia="ko-KR"/>
        </w:rPr>
      </w:pPr>
      <w:r w:rsidRPr="000E7096">
        <w:rPr>
          <w:rFonts w:eastAsia="Malgun Gothic"/>
          <w:szCs w:val="22"/>
          <w:lang w:eastAsia="ko-KR"/>
        </w:rPr>
        <w:t xml:space="preserve">Send </w:t>
      </w:r>
      <w:proofErr w:type="gramStart"/>
      <w:r w:rsidRPr="000E7096">
        <w:rPr>
          <w:rFonts w:eastAsia="Malgun Gothic"/>
          <w:szCs w:val="22"/>
          <w:lang w:eastAsia="ko-KR"/>
        </w:rPr>
        <w:t>a</w:t>
      </w:r>
      <w:r w:rsidR="00E3782E">
        <w:rPr>
          <w:rFonts w:eastAsia="Malgun Gothic"/>
          <w:szCs w:val="22"/>
          <w:lang w:eastAsia="ko-KR"/>
        </w:rPr>
        <w:t>n</w:t>
      </w:r>
      <w:proofErr w:type="gramEnd"/>
      <w:r w:rsidRPr="000E7096">
        <w:rPr>
          <w:rFonts w:eastAsia="Malgun Gothic"/>
          <w:szCs w:val="22"/>
          <w:lang w:eastAsia="ko-KR"/>
        </w:rPr>
        <w:t xml:space="preserve"> LS to RAN2 (LGE</w:t>
      </w:r>
      <w:r>
        <w:rPr>
          <w:rFonts w:eastAsia="Malgun Gothic"/>
          <w:szCs w:val="22"/>
          <w:lang w:eastAsia="ko-KR"/>
        </w:rPr>
        <w:t>,</w:t>
      </w:r>
      <w:r w:rsidRPr="000E7096">
        <w:rPr>
          <w:rFonts w:eastAsia="Malgun Gothic"/>
          <w:szCs w:val="22"/>
          <w:lang w:eastAsia="ko-KR"/>
        </w:rPr>
        <w:t xml:space="preserve"> </w:t>
      </w:r>
      <w:proofErr w:type="spellStart"/>
      <w:r w:rsidRPr="000E7096">
        <w:rPr>
          <w:rFonts w:eastAsia="Malgun Gothic"/>
          <w:szCs w:val="22"/>
          <w:lang w:eastAsia="ko-KR"/>
        </w:rPr>
        <w:t>Hyunsoo</w:t>
      </w:r>
      <w:proofErr w:type="spellEnd"/>
      <w:r w:rsidRPr="000E7096">
        <w:rPr>
          <w:rFonts w:eastAsia="Malgun Gothic"/>
          <w:szCs w:val="22"/>
          <w:lang w:eastAsia="ko-KR"/>
        </w:rPr>
        <w:t>)</w:t>
      </w:r>
    </w:p>
    <w:p w14:paraId="57697638" w14:textId="77777777" w:rsidR="00937443" w:rsidRDefault="00937443" w:rsidP="00937443">
      <w:pPr>
        <w:rPr>
          <w:rFonts w:eastAsia="Malgun Gothic"/>
          <w:b/>
          <w:szCs w:val="22"/>
          <w:highlight w:val="green"/>
          <w:lang w:val="en-US" w:eastAsia="ko-KR"/>
        </w:rPr>
      </w:pPr>
    </w:p>
    <w:p w14:paraId="743FA91B" w14:textId="79E4BE67" w:rsidR="00937443" w:rsidRPr="00E3782E" w:rsidRDefault="00937443" w:rsidP="00E3782E">
      <w:pPr>
        <w:rPr>
          <w:rFonts w:eastAsia="Malgun Gothic"/>
          <w:b/>
          <w:szCs w:val="22"/>
          <w:highlight w:val="green"/>
          <w:lang w:val="en-US" w:eastAsia="ko-KR"/>
        </w:rPr>
      </w:pPr>
      <w:r w:rsidRPr="00E3782E">
        <w:rPr>
          <w:rFonts w:eastAsia="Malgun Gothic"/>
          <w:b/>
          <w:szCs w:val="22"/>
          <w:highlight w:val="green"/>
          <w:lang w:val="en-US" w:eastAsia="ko-KR"/>
        </w:rPr>
        <w:t>Agreement</w:t>
      </w:r>
    </w:p>
    <w:p w14:paraId="49477282" w14:textId="77777777" w:rsidR="00937443" w:rsidRPr="00937443" w:rsidRDefault="00937443" w:rsidP="00937443">
      <w:pPr>
        <w:pStyle w:val="ListParagraph"/>
        <w:numPr>
          <w:ilvl w:val="0"/>
          <w:numId w:val="24"/>
        </w:numPr>
        <w:rPr>
          <w:rFonts w:eastAsia="Malgun Gothic"/>
          <w:szCs w:val="22"/>
          <w:lang w:val="en-US" w:eastAsia="ko-KR"/>
        </w:rPr>
      </w:pPr>
      <w:r w:rsidRPr="00937443">
        <w:rPr>
          <w:rFonts w:eastAsia="Malgun Gothic"/>
          <w:szCs w:val="22"/>
          <w:lang w:val="en-US" w:eastAsia="ko-KR"/>
        </w:rPr>
        <w:t xml:space="preserve">From a </w:t>
      </w:r>
      <w:r w:rsidRPr="00937443">
        <w:rPr>
          <w:rFonts w:eastAsia="Malgun Gothic" w:hint="eastAsia"/>
          <w:szCs w:val="22"/>
          <w:lang w:val="en-US" w:eastAsia="ko-KR"/>
        </w:rPr>
        <w:t>spec</w:t>
      </w:r>
      <w:r w:rsidRPr="00937443">
        <w:rPr>
          <w:rFonts w:eastAsia="Malgun Gothic"/>
          <w:szCs w:val="22"/>
          <w:lang w:val="en-US" w:eastAsia="ko-KR"/>
        </w:rPr>
        <w:t>ification</w:t>
      </w:r>
      <w:r w:rsidRPr="00937443">
        <w:rPr>
          <w:rFonts w:eastAsia="Malgun Gothic" w:hint="eastAsia"/>
          <w:szCs w:val="22"/>
          <w:lang w:val="en-US" w:eastAsia="ko-KR"/>
        </w:rPr>
        <w:t xml:space="preserve"> pe</w:t>
      </w:r>
      <w:r w:rsidRPr="00937443">
        <w:rPr>
          <w:rFonts w:eastAsia="Malgun Gothic"/>
          <w:szCs w:val="22"/>
          <w:lang w:val="en-US" w:eastAsia="ko-KR"/>
        </w:rPr>
        <w:t>r</w:t>
      </w:r>
      <w:r w:rsidRPr="00937443">
        <w:rPr>
          <w:rFonts w:eastAsia="Malgun Gothic" w:hint="eastAsia"/>
          <w:szCs w:val="22"/>
          <w:lang w:val="en-US" w:eastAsia="ko-KR"/>
        </w:rPr>
        <w:t xml:space="preserve">spective, </w:t>
      </w:r>
      <w:r w:rsidRPr="00937443">
        <w:rPr>
          <w:rFonts w:eastAsia="Malgun Gothic"/>
          <w:szCs w:val="22"/>
          <w:lang w:val="en-US" w:eastAsia="ko-KR"/>
        </w:rPr>
        <w:t>the measurement/report configuration of CLI-RSSI and SRS-RSRP are independent.</w:t>
      </w:r>
    </w:p>
    <w:p w14:paraId="5500CF40" w14:textId="77777777" w:rsidR="00937443" w:rsidRPr="00937443" w:rsidRDefault="00937443" w:rsidP="00937443">
      <w:pPr>
        <w:pStyle w:val="ListParagraph"/>
        <w:numPr>
          <w:ilvl w:val="0"/>
          <w:numId w:val="24"/>
        </w:numPr>
        <w:rPr>
          <w:rFonts w:eastAsia="Malgun Gothic"/>
          <w:szCs w:val="22"/>
          <w:lang w:val="en-US" w:eastAsia="ko-KR"/>
        </w:rPr>
      </w:pPr>
      <w:r w:rsidRPr="00937443">
        <w:rPr>
          <w:rFonts w:eastAsia="Malgun Gothic"/>
          <w:szCs w:val="22"/>
          <w:lang w:val="en-US" w:eastAsia="ko-KR"/>
        </w:rPr>
        <w:t>FFS: UE capability discussion</w:t>
      </w:r>
    </w:p>
    <w:p w14:paraId="01F3D4EA" w14:textId="0D019305" w:rsidR="00FC3AEF" w:rsidRDefault="00937443" w:rsidP="001F1BEF">
      <w:pPr>
        <w:pStyle w:val="BodyText"/>
        <w:spacing w:before="240"/>
      </w:pPr>
      <w:r>
        <w:t>As seen, t</w:t>
      </w:r>
      <w:r w:rsidR="005F48B0">
        <w:t xml:space="preserve">he RSSI measurement configuration were agreed upon during the meeting, while some </w:t>
      </w:r>
      <w:r>
        <w:t>open issues remaining for defining the SRS-</w:t>
      </w:r>
      <w:r w:rsidR="005F48B0">
        <w:t>RSRP measurements</w:t>
      </w:r>
      <w:r w:rsidR="00FD04FB">
        <w:t>, namely</w:t>
      </w:r>
    </w:p>
    <w:p w14:paraId="57864F12" w14:textId="09052586" w:rsidR="00FC3AEF" w:rsidRDefault="00F11A0F" w:rsidP="001171E8">
      <w:pPr>
        <w:pStyle w:val="BodyText"/>
        <w:numPr>
          <w:ilvl w:val="0"/>
          <w:numId w:val="23"/>
        </w:numPr>
        <w:spacing w:before="240"/>
      </w:pPr>
      <w:r>
        <w:t xml:space="preserve">Value of the fixed timing offset relative DL timing for SRS measurement </w:t>
      </w:r>
    </w:p>
    <w:p w14:paraId="48FE5A71" w14:textId="1FD2FBA7" w:rsidR="00F11A0F" w:rsidRDefault="00584951" w:rsidP="001171E8">
      <w:pPr>
        <w:pStyle w:val="BodyText"/>
        <w:numPr>
          <w:ilvl w:val="0"/>
          <w:numId w:val="23"/>
        </w:numPr>
        <w:spacing w:before="240"/>
      </w:pPr>
      <w:r>
        <w:t>If SRS transmission timing other than UL timing is to be introduced</w:t>
      </w:r>
    </w:p>
    <w:p w14:paraId="7C0CF308" w14:textId="1B5DC3C2" w:rsidR="00584951" w:rsidRDefault="0018097D" w:rsidP="001171E8">
      <w:pPr>
        <w:pStyle w:val="BodyText"/>
        <w:numPr>
          <w:ilvl w:val="0"/>
          <w:numId w:val="23"/>
        </w:numPr>
        <w:spacing w:before="240"/>
      </w:pPr>
      <w:r>
        <w:t xml:space="preserve">If </w:t>
      </w:r>
      <w:r w:rsidR="00054959">
        <w:t xml:space="preserve">PDSCH rate matches around REs of </w:t>
      </w:r>
      <w:r>
        <w:t>SRS resources configured for CLI measurement</w:t>
      </w:r>
    </w:p>
    <w:p w14:paraId="695A0374" w14:textId="4AB71447" w:rsidR="004C6069" w:rsidRDefault="00EF2A26" w:rsidP="00E3782E">
      <w:pPr>
        <w:pStyle w:val="BodyText"/>
        <w:numPr>
          <w:ilvl w:val="0"/>
          <w:numId w:val="23"/>
        </w:numPr>
        <w:spacing w:before="240"/>
      </w:pPr>
      <w:r>
        <w:t xml:space="preserve">If </w:t>
      </w:r>
      <w:r w:rsidR="00D2027D">
        <w:t xml:space="preserve">current SRS transmission configuration and triggering methods can be re-used for SRS transmission for CLI measurement purpose or if </w:t>
      </w:r>
      <w:r w:rsidR="004C6069">
        <w:t>more flexibility is needed</w:t>
      </w:r>
    </w:p>
    <w:p w14:paraId="271A9F7C" w14:textId="0ED92E90" w:rsidR="003A7649" w:rsidRDefault="003A7649" w:rsidP="001F1BEF">
      <w:pPr>
        <w:pStyle w:val="BodyText"/>
        <w:spacing w:before="240"/>
      </w:pPr>
      <w:r>
        <w:t>Furthermore, in [2], some other proposals regarding modified behaviour of SRS transmission for CLI measurement purpose such as if different transmission power</w:t>
      </w:r>
      <w:r w:rsidR="004C6069">
        <w:t xml:space="preserve"> or different Tx beam selection should be applied.</w:t>
      </w:r>
    </w:p>
    <w:p w14:paraId="1204BEA7" w14:textId="71D7D9C7" w:rsidR="00E74601" w:rsidRDefault="00CC42FC" w:rsidP="0005092A">
      <w:pPr>
        <w:pStyle w:val="BodyText"/>
        <w:spacing w:before="240"/>
      </w:pPr>
      <w:r>
        <w:t xml:space="preserve">In this paper, we discuss </w:t>
      </w:r>
      <w:r w:rsidR="00633699">
        <w:t>these</w:t>
      </w:r>
      <w:r w:rsidR="005F48B0">
        <w:t xml:space="preserve"> </w:t>
      </w:r>
      <w:r w:rsidR="00633699">
        <w:t xml:space="preserve">remaining issues. </w:t>
      </w:r>
    </w:p>
    <w:p w14:paraId="0D0903B6" w14:textId="365C2DC7" w:rsidR="00517215" w:rsidRDefault="00A77990" w:rsidP="00517215">
      <w:pPr>
        <w:pStyle w:val="Heading1"/>
      </w:pPr>
      <w:r>
        <w:t>SRS transmission and reception timing</w:t>
      </w:r>
    </w:p>
    <w:p w14:paraId="7B105CCA" w14:textId="69D89108" w:rsidR="008233E4" w:rsidRDefault="007E73F4" w:rsidP="00EC36D9">
      <w:r>
        <w:t xml:space="preserve">As the </w:t>
      </w:r>
      <w:r w:rsidR="00A95646">
        <w:t xml:space="preserve">propagation distance between </w:t>
      </w:r>
      <w:r w:rsidR="00641C39">
        <w:t xml:space="preserve">UEs in neighbouring cells likely is different from the propagation distances between the UEs and their serving gNB, </w:t>
      </w:r>
      <w:r w:rsidR="00B60181">
        <w:t>the timing may need to be changed from the regular UL/DL timing by either adjusting it at receiver or transmitter side.</w:t>
      </w:r>
    </w:p>
    <w:p w14:paraId="6F3FA8CD" w14:textId="22084E15" w:rsidR="00DE52BD" w:rsidRDefault="00864892" w:rsidP="003C59FC">
      <w:r>
        <w:t>One issue with</w:t>
      </w:r>
      <w:r w:rsidR="001A6072">
        <w:t xml:space="preserve"> introduc</w:t>
      </w:r>
      <w:r>
        <w:t>ing</w:t>
      </w:r>
      <w:r w:rsidR="001A6072">
        <w:t xml:space="preserve"> a</w:t>
      </w:r>
      <w:r>
        <w:t xml:space="preserve"> special</w:t>
      </w:r>
      <w:r w:rsidR="001A6072">
        <w:t xml:space="preserve"> transmission timing offset</w:t>
      </w:r>
      <w:r w:rsidR="00B60181">
        <w:t xml:space="preserve"> for SRS for CLI measurement</w:t>
      </w:r>
      <w:r>
        <w:t xml:space="preserve"> is that the SRS</w:t>
      </w:r>
      <w:r w:rsidR="001A6072">
        <w:t xml:space="preserve"> would </w:t>
      </w:r>
      <w:r w:rsidR="00B60181">
        <w:t xml:space="preserve">collide with </w:t>
      </w:r>
      <w:r w:rsidR="001A6072">
        <w:t>adjacent resources</w:t>
      </w:r>
      <w:r w:rsidR="004410C7">
        <w:t>, which needs to be handled</w:t>
      </w:r>
      <w:r w:rsidR="001A6072">
        <w:t xml:space="preserve">. For example, if the UE is to transmit the </w:t>
      </w:r>
      <w:r w:rsidR="009546D9">
        <w:t>CLI</w:t>
      </w:r>
      <w:r w:rsidR="004410C7">
        <w:t>-</w:t>
      </w:r>
      <w:r w:rsidR="001A6072">
        <w:t>SRS with a smaller t</w:t>
      </w:r>
      <w:r w:rsidR="009546D9">
        <w:t xml:space="preserve">iming advance than regular UL transmissions, the </w:t>
      </w:r>
      <w:r w:rsidR="004410C7">
        <w:t xml:space="preserve">OFDM symbol </w:t>
      </w:r>
      <w:r w:rsidR="009546D9">
        <w:t xml:space="preserve">following the SRS </w:t>
      </w:r>
      <w:r w:rsidR="004410C7">
        <w:t>must be blanked</w:t>
      </w:r>
      <w:r w:rsidR="009546D9">
        <w:t xml:space="preserve"> as the SRS will cover part of it</w:t>
      </w:r>
      <w:r w:rsidR="00972038">
        <w:t xml:space="preserve">, as shown in </w:t>
      </w:r>
      <w:r w:rsidR="00972038">
        <w:fldChar w:fldCharType="begin"/>
      </w:r>
      <w:r w:rsidR="00972038">
        <w:instrText xml:space="preserve"> REF _Ref188175 \h </w:instrText>
      </w:r>
      <w:r w:rsidR="00972038">
        <w:fldChar w:fldCharType="separate"/>
      </w:r>
      <w:r w:rsidR="00A75490">
        <w:t xml:space="preserve">Figure </w:t>
      </w:r>
      <w:r w:rsidR="00A75490">
        <w:rPr>
          <w:noProof/>
        </w:rPr>
        <w:t>1</w:t>
      </w:r>
      <w:r w:rsidR="00972038">
        <w:fldChar w:fldCharType="end"/>
      </w:r>
      <w:r w:rsidR="009546D9">
        <w:t>.</w:t>
      </w:r>
      <w:r w:rsidR="003416BB">
        <w:t xml:space="preserve"> Further, transmission timing adjustments </w:t>
      </w:r>
      <w:r w:rsidR="004410C7">
        <w:t>will caus</w:t>
      </w:r>
      <w:r w:rsidR="003416BB">
        <w:t>e</w:t>
      </w:r>
      <w:r w:rsidR="004410C7">
        <w:t xml:space="preserve"> backward-</w:t>
      </w:r>
      <w:r w:rsidR="003416BB">
        <w:t>compatibility issues with legacy UEs</w:t>
      </w:r>
      <w:r w:rsidR="004410C7">
        <w:t xml:space="preserve">, since they can only transmit using the legacy timing. Hence, </w:t>
      </w:r>
      <w:r w:rsidR="008A7BC4">
        <w:t xml:space="preserve">if a new SRS transmission timing is introduced, CLI measurement cannot be performed on legacy UE’s SRS. </w:t>
      </w:r>
      <w:r w:rsidR="001B3B05">
        <w:t xml:space="preserve"> </w:t>
      </w:r>
    </w:p>
    <w:p w14:paraId="128A83F5" w14:textId="221F2842" w:rsidR="00E81AFC" w:rsidRDefault="00E81AFC" w:rsidP="003C59FC">
      <w:r>
        <w:lastRenderedPageBreak/>
        <w:t>Therefore, we propose that no special timing adjustment is introduced for SRS transmission for CLI measurement purpose. Instead, if some timing adjustments are needed to improve performance, these can instead be applied at the receiver side by the measuring UE.</w:t>
      </w:r>
    </w:p>
    <w:p w14:paraId="67C2C872" w14:textId="2D42576C" w:rsidR="008D430F" w:rsidRDefault="008D430F" w:rsidP="008D430F">
      <w:pPr>
        <w:keepNext/>
        <w:jc w:val="center"/>
      </w:pPr>
    </w:p>
    <w:p w14:paraId="6F37595E" w14:textId="440AE0DE" w:rsidR="00FE19E7" w:rsidRDefault="00FE19E7" w:rsidP="008D430F">
      <w:pPr>
        <w:keepNext/>
        <w:jc w:val="center"/>
      </w:pPr>
      <w:r>
        <w:rPr>
          <w:noProof/>
        </w:rPr>
        <w:drawing>
          <wp:inline distT="0" distB="0" distL="0" distR="0" wp14:anchorId="3170214B" wp14:editId="1CD07675">
            <wp:extent cx="4532731" cy="80471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62185" cy="809939"/>
                    </a:xfrm>
                    <a:prstGeom prst="rect">
                      <a:avLst/>
                    </a:prstGeom>
                    <a:noFill/>
                    <a:ln>
                      <a:noFill/>
                    </a:ln>
                  </pic:spPr>
                </pic:pic>
              </a:graphicData>
            </a:graphic>
          </wp:inline>
        </w:drawing>
      </w:r>
    </w:p>
    <w:p w14:paraId="7746966F" w14:textId="6FB4E550" w:rsidR="009546D9" w:rsidRDefault="008D430F" w:rsidP="009D13EF">
      <w:pPr>
        <w:pStyle w:val="Caption"/>
      </w:pPr>
      <w:bookmarkStart w:id="1" w:name="_Ref188175"/>
      <w:r>
        <w:t xml:space="preserve">Figure </w:t>
      </w:r>
      <w:r>
        <w:fldChar w:fldCharType="begin"/>
      </w:r>
      <w:r>
        <w:instrText xml:space="preserve"> SEQ Figure \* ARABIC </w:instrText>
      </w:r>
      <w:r>
        <w:fldChar w:fldCharType="separate"/>
      </w:r>
      <w:r w:rsidR="00A75490">
        <w:rPr>
          <w:noProof/>
        </w:rPr>
        <w:t>1</w:t>
      </w:r>
      <w:r>
        <w:fldChar w:fldCharType="end"/>
      </w:r>
      <w:bookmarkEnd w:id="1"/>
      <w:r>
        <w:t>. Resource loss due to different transmission timing advance</w:t>
      </w:r>
      <w:r w:rsidR="00157158">
        <w:t xml:space="preserve">s for </w:t>
      </w:r>
      <w:r w:rsidR="00A061D3">
        <w:t>CLI-</w:t>
      </w:r>
      <w:r w:rsidR="00157158">
        <w:t>SRS</w:t>
      </w:r>
      <w:r w:rsidR="00A061D3">
        <w:t xml:space="preserve"> and regular UL transmissions</w:t>
      </w:r>
      <w:r>
        <w:t>.</w:t>
      </w:r>
      <w:r w:rsidR="001E17A8">
        <w:t xml:space="preserve"> </w:t>
      </w:r>
    </w:p>
    <w:p w14:paraId="36CA2E97" w14:textId="3BA71538" w:rsidR="00C9344B" w:rsidRPr="00C9344B" w:rsidRDefault="004410C7" w:rsidP="00C9344B">
      <w:pPr>
        <w:pStyle w:val="Proposal"/>
      </w:pPr>
      <w:bookmarkStart w:id="2" w:name="_Toc1144428"/>
      <w:r>
        <w:t xml:space="preserve">SRS transmission for CLI measurement purpose uses legacy </w:t>
      </w:r>
      <w:r w:rsidR="00E4594B">
        <w:t>timing advance</w:t>
      </w:r>
      <w:bookmarkEnd w:id="2"/>
    </w:p>
    <w:p w14:paraId="5C8C2BFD" w14:textId="24A5D6BE" w:rsidR="00D46F20" w:rsidRDefault="00B736F6" w:rsidP="003C59FC">
      <w:r>
        <w:t xml:space="preserve">Whether </w:t>
      </w:r>
      <w:r w:rsidR="00DE52BD">
        <w:t>measurement timing adjustments</w:t>
      </w:r>
      <w:r w:rsidR="00654112">
        <w:t xml:space="preserve"> </w:t>
      </w:r>
      <w:r w:rsidR="00DE52BD">
        <w:t>are required or not depend</w:t>
      </w:r>
      <w:r w:rsidR="00954BF4">
        <w:t xml:space="preserve"> very</w:t>
      </w:r>
      <w:r w:rsidR="00DE52BD">
        <w:t xml:space="preserve"> much on the cell size. Consider the deployment</w:t>
      </w:r>
      <w:r w:rsidR="00D50B57">
        <w:t>s</w:t>
      </w:r>
      <w:r w:rsidR="00DE52BD">
        <w:t xml:space="preserve"> in </w:t>
      </w:r>
      <w:r w:rsidR="001D752F">
        <w:fldChar w:fldCharType="begin"/>
      </w:r>
      <w:r w:rsidR="001D752F">
        <w:instrText xml:space="preserve"> REF _Ref443917 \h </w:instrText>
      </w:r>
      <w:r w:rsidR="001D752F">
        <w:fldChar w:fldCharType="separate"/>
      </w:r>
      <w:r w:rsidR="00A75490">
        <w:t xml:space="preserve">Figure </w:t>
      </w:r>
      <w:r w:rsidR="00A75490">
        <w:rPr>
          <w:noProof/>
        </w:rPr>
        <w:t>2</w:t>
      </w:r>
      <w:r w:rsidR="001D752F">
        <w:fldChar w:fldCharType="end"/>
      </w:r>
      <w:r w:rsidR="00A5176F">
        <w:t xml:space="preserve"> with UE1 causing CLI to UE2</w:t>
      </w:r>
      <w:r w:rsidR="001D752F">
        <w:t xml:space="preserve">. </w:t>
      </w:r>
      <w:r w:rsidR="001529C3">
        <w:t>Due to the propagation delay</w:t>
      </w:r>
      <w:r w:rsidR="00F83310">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001529C3">
        <w:t xml:space="preserve"> between </w:t>
      </w:r>
      <w:r w:rsidR="00F83310">
        <w:t>a</w:t>
      </w:r>
      <w:r w:rsidR="001529C3">
        <w:t xml:space="preserve"> </w:t>
      </w:r>
      <w:r w:rsidR="00D50B57">
        <w:t xml:space="preserve">UE and its </w:t>
      </w:r>
      <w:r w:rsidR="00F83310">
        <w:t xml:space="preserve">serving </w:t>
      </w:r>
      <w:r w:rsidR="001529C3">
        <w:t>gNB</w:t>
      </w:r>
      <w:r w:rsidR="00F83310">
        <w:t xml:space="preserve">, </w:t>
      </w:r>
      <w:r w:rsidR="0072045C">
        <w:t xml:space="preserve">the downlink reception timing for </w:t>
      </w:r>
      <w:r w:rsidR="00F83310">
        <w:t>each UE will ha</w:t>
      </w:r>
      <w:r w:rsidR="00A5176F">
        <w:t xml:space="preserve">ve </w:t>
      </w:r>
      <w:r w:rsidR="0072045C">
        <w:t xml:space="preserve">an </w:t>
      </w:r>
      <w:r w:rsidR="00A5176F">
        <w:t>offset</w:t>
      </w:r>
      <w:r w:rsidR="007535BF">
        <w:t xml:space="preserve"> of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007535BF">
        <w:t xml:space="preserve"> </w:t>
      </w:r>
      <w:r w:rsidR="00A5176F">
        <w:t xml:space="preserve"> </w:t>
      </w:r>
      <w:r w:rsidR="00132DB3">
        <w:t xml:space="preserve">relative </w:t>
      </w:r>
      <w:r w:rsidR="00A5176F">
        <w:t>to</w:t>
      </w:r>
      <w:r w:rsidR="00F60F48">
        <w:t xml:space="preserve"> </w:t>
      </w:r>
      <w:r w:rsidR="007535BF">
        <w:t xml:space="preserve">its </w:t>
      </w:r>
      <w:r w:rsidR="00F60F48">
        <w:t xml:space="preserve">serving </w:t>
      </w:r>
      <w:proofErr w:type="spellStart"/>
      <w:r w:rsidR="00F60F48">
        <w:t>gNBs</w:t>
      </w:r>
      <w:proofErr w:type="spellEnd"/>
      <w:r w:rsidR="00F60F48">
        <w:t xml:space="preserve"> downlink </w:t>
      </w:r>
      <w:r w:rsidR="0072045C">
        <w:t xml:space="preserve">transmission </w:t>
      </w:r>
      <w:r w:rsidR="00F60F48">
        <w:t xml:space="preserve">timing. </w:t>
      </w:r>
      <w:r w:rsidR="00E128FE">
        <w:t xml:space="preserve">To compensate for this, </w:t>
      </w:r>
      <w:r w:rsidR="00BF75E7">
        <w:t xml:space="preserve">the </w:t>
      </w:r>
      <w:r w:rsidR="00E128FE">
        <w:t>UE will</w:t>
      </w:r>
      <w:r w:rsidR="00F74107">
        <w:t xml:space="preserve"> apply a timing advance of </w:t>
      </w:r>
      <m:oMath>
        <m:sSub>
          <m:sSubPr>
            <m:ctrlPr>
              <w:rPr>
                <w:rFonts w:ascii="Cambria Math" w:hAnsi="Cambria Math"/>
                <w:i/>
              </w:rPr>
            </m:ctrlPr>
          </m:sSubPr>
          <m:e>
            <m:r>
              <w:rPr>
                <w:rFonts w:ascii="Cambria Math" w:hAnsi="Cambria Math"/>
              </w:rPr>
              <m:t>T</m:t>
            </m:r>
          </m:e>
          <m:sub>
            <m:r>
              <w:rPr>
                <w:rFonts w:ascii="Cambria Math" w:hAnsi="Cambria Math"/>
              </w:rPr>
              <m:t>TA</m:t>
            </m:r>
          </m:sub>
        </m:sSub>
        <m:r>
          <w:rPr>
            <w:rFonts w:ascii="Cambria Math" w:hAnsi="Cambria Math"/>
          </w:rPr>
          <m:t>≈2</m:t>
        </m:r>
        <m:sSubSup>
          <m:sSubSupPr>
            <m:ctrlPr>
              <w:rPr>
                <w:rFonts w:ascii="Cambria Math" w:hAnsi="Cambria Math"/>
                <w:i/>
              </w:rPr>
            </m:ctrlPr>
          </m:sSubSupPr>
          <m:e>
            <m:r>
              <w:rPr>
                <w:rFonts w:ascii="Cambria Math" w:hAnsi="Cambria Math"/>
              </w:rPr>
              <m:t>T</m:t>
            </m:r>
          </m:e>
          <m:sub>
            <m:r>
              <w:rPr>
                <w:rFonts w:ascii="Cambria Math" w:hAnsi="Cambria Math"/>
              </w:rPr>
              <m:t>d</m:t>
            </m:r>
          </m:sub>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sSub>
          <m:sSubPr>
            <m:ctrlPr>
              <w:rPr>
                <w:rFonts w:ascii="Cambria Math" w:hAnsi="Cambria Math"/>
                <w:i/>
              </w:rPr>
            </m:ctrlPr>
          </m:sSubPr>
          <m:e>
            <m:r>
              <w:rPr>
                <w:rFonts w:ascii="Cambria Math" w:hAnsi="Cambria Math"/>
              </w:rPr>
              <m:t>T</m:t>
            </m:r>
          </m:e>
          <m:sub>
            <m:r>
              <w:rPr>
                <w:rFonts w:ascii="Cambria Math" w:hAnsi="Cambria Math"/>
              </w:rPr>
              <m:t>c</m:t>
            </m:r>
          </m:sub>
        </m:sSub>
      </m:oMath>
      <w:r w:rsidR="00A47823">
        <w:t xml:space="preserve"> with respect to its downlink </w:t>
      </w:r>
      <w:r w:rsidR="00132DB3">
        <w:t xml:space="preserve">reception </w:t>
      </w:r>
      <w:r w:rsidR="00A47823">
        <w:t>timing</w:t>
      </w:r>
      <w:r w:rsidR="007861DB">
        <w:t xml:space="preserve"> when performing uplink transmissions. This timing advance is used</w:t>
      </w:r>
      <w:r w:rsidR="00AA1196">
        <w:t xml:space="preserve"> to align the</w:t>
      </w:r>
      <w:r w:rsidR="00C57E56">
        <w:t xml:space="preserve"> </w:t>
      </w:r>
      <w:r w:rsidR="00132DB3">
        <w:t xml:space="preserve">timing </w:t>
      </w:r>
      <w:r w:rsidR="007861DB">
        <w:t>between the received</w:t>
      </w:r>
      <w:r w:rsidR="00CC2A83">
        <w:t xml:space="preserve"> uplink </w:t>
      </w:r>
      <w:r w:rsidR="007861DB">
        <w:t>signals</w:t>
      </w:r>
      <w:r w:rsidR="00CC2A83">
        <w:t xml:space="preserve"> from different UEs</w:t>
      </w:r>
      <w:r w:rsidR="00C57E56">
        <w:t xml:space="preserve"> </w:t>
      </w:r>
      <w:r w:rsidR="007861DB">
        <w:t>at the</w:t>
      </w:r>
      <w:r w:rsidR="00C57E56">
        <w:t xml:space="preserve"> serving gNB. </w:t>
      </w:r>
      <w:r w:rsidR="007861DB">
        <w:t xml:space="preserve">For example, </w:t>
      </w:r>
      <w:r w:rsidR="002C6EC9">
        <w:t xml:space="preserve"> for UE1</w:t>
      </w:r>
      <w:r w:rsidR="007861DB">
        <w:t xml:space="preserve"> in </w:t>
      </w:r>
      <w:r w:rsidR="007861DB">
        <w:fldChar w:fldCharType="begin"/>
      </w:r>
      <w:r w:rsidR="007861DB">
        <w:instrText xml:space="preserve"> REF _Ref443917 \h </w:instrText>
      </w:r>
      <w:r w:rsidR="007861DB">
        <w:fldChar w:fldCharType="separate"/>
      </w:r>
      <w:r w:rsidR="00A75490">
        <w:t xml:space="preserve">Figure </w:t>
      </w:r>
      <w:r w:rsidR="00A75490">
        <w:rPr>
          <w:noProof/>
        </w:rPr>
        <w:t>2</w:t>
      </w:r>
      <w:r w:rsidR="007861DB">
        <w:fldChar w:fldCharType="end"/>
      </w:r>
      <w:r w:rsidR="002C6EC9">
        <w:t>,</w:t>
      </w:r>
      <w:r w:rsidR="00C57E56">
        <w:t xml:space="preserve"> </w:t>
      </w:r>
      <w:r w:rsidR="006E7E2C">
        <w:t xml:space="preserve">by applying the timing advance </w:t>
      </w:r>
      <m:oMath>
        <m:sSub>
          <m:sSubPr>
            <m:ctrlPr>
              <w:rPr>
                <w:rFonts w:ascii="Cambria Math" w:hAnsi="Cambria Math"/>
                <w:i/>
              </w:rPr>
            </m:ctrlPr>
          </m:sSubPr>
          <m:e>
            <m:r>
              <w:rPr>
                <w:rFonts w:ascii="Cambria Math" w:hAnsi="Cambria Math"/>
              </w:rPr>
              <m:t>T</m:t>
            </m:r>
          </m:e>
          <m:sub>
            <m:r>
              <w:rPr>
                <w:rFonts w:ascii="Cambria Math" w:hAnsi="Cambria Math"/>
              </w:rPr>
              <m:t>TA</m:t>
            </m:r>
          </m:sub>
        </m:sSub>
        <m:r>
          <w:rPr>
            <w:rFonts w:ascii="Cambria Math" w:hAnsi="Cambria Math"/>
          </w:rPr>
          <m:t>≈2</m:t>
        </m:r>
        <m:sSubSup>
          <m:sSubSupPr>
            <m:ctrlPr>
              <w:rPr>
                <w:rFonts w:ascii="Cambria Math" w:hAnsi="Cambria Math"/>
                <w:i/>
              </w:rPr>
            </m:ctrlPr>
          </m:sSubSupPr>
          <m:e>
            <m:r>
              <w:rPr>
                <w:rFonts w:ascii="Cambria Math" w:hAnsi="Cambria Math"/>
              </w:rPr>
              <m:t>T</m:t>
            </m:r>
          </m:e>
          <m:sub>
            <m:r>
              <w:rPr>
                <w:rFonts w:ascii="Cambria Math" w:hAnsi="Cambria Math"/>
              </w:rPr>
              <m:t>d</m:t>
            </m:r>
          </m:sub>
          <m:sup>
            <m:r>
              <w:rPr>
                <w:rFonts w:ascii="Cambria Math" w:hAnsi="Cambria Math"/>
              </w:rPr>
              <m:t>(1)</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sSub>
          <m:sSubPr>
            <m:ctrlPr>
              <w:rPr>
                <w:rFonts w:ascii="Cambria Math" w:hAnsi="Cambria Math"/>
                <w:i/>
              </w:rPr>
            </m:ctrlPr>
          </m:sSubPr>
          <m:e>
            <m:r>
              <w:rPr>
                <w:rFonts w:ascii="Cambria Math" w:hAnsi="Cambria Math"/>
              </w:rPr>
              <m:t>T</m:t>
            </m:r>
          </m:e>
          <m:sub>
            <m:r>
              <w:rPr>
                <w:rFonts w:ascii="Cambria Math" w:hAnsi="Cambria Math"/>
              </w:rPr>
              <m:t>c</m:t>
            </m:r>
          </m:sub>
        </m:sSub>
      </m:oMath>
      <w:r w:rsidR="006E7E2C">
        <w:t xml:space="preserve">, its UL transmission timing has </w:t>
      </w:r>
      <w:r w:rsidR="004148D8">
        <w:t>a time offset</w:t>
      </w:r>
      <w:r w:rsidR="00D86DA2">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d</m:t>
            </m:r>
          </m:sub>
          <m:sup>
            <m:r>
              <w:rPr>
                <w:rFonts w:ascii="Cambria Math" w:hAnsi="Cambria Math"/>
              </w:rPr>
              <m:t>(1)</m:t>
            </m:r>
          </m:sup>
        </m:sSub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TA</m:t>
            </m:r>
          </m:sub>
        </m:sSub>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d</m:t>
            </m:r>
          </m:sub>
          <m:sup>
            <m:d>
              <m:dPr>
                <m:ctrlPr>
                  <w:rPr>
                    <w:rFonts w:ascii="Cambria Math" w:hAnsi="Cambria Math"/>
                    <w:i/>
                  </w:rPr>
                </m:ctrlPr>
              </m:dPr>
              <m:e>
                <m:r>
                  <w:rPr>
                    <w:rFonts w:ascii="Cambria Math" w:hAnsi="Cambria Math"/>
                  </w:rPr>
                  <m:t>1</m:t>
                </m:r>
              </m:e>
            </m:d>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sSub>
          <m:sSubPr>
            <m:ctrlPr>
              <w:rPr>
                <w:rFonts w:ascii="Cambria Math" w:hAnsi="Cambria Math"/>
                <w:i/>
              </w:rPr>
            </m:ctrlPr>
          </m:sSubPr>
          <m:e>
            <m:r>
              <w:rPr>
                <w:rFonts w:ascii="Cambria Math" w:hAnsi="Cambria Math"/>
              </w:rPr>
              <m:t>T</m:t>
            </m:r>
          </m:e>
          <m:sub>
            <m:r>
              <w:rPr>
                <w:rFonts w:ascii="Cambria Math" w:hAnsi="Cambria Math"/>
              </w:rPr>
              <m:t>c</m:t>
            </m:r>
          </m:sub>
        </m:sSub>
      </m:oMath>
      <w:r w:rsidR="004552F9">
        <w:t xml:space="preserve"> </w:t>
      </w:r>
      <w:r w:rsidR="004148D8">
        <w:t xml:space="preserve">relative to </w:t>
      </w:r>
      <w:r w:rsidR="00D13DCA">
        <w:t>its serving gNB’s</w:t>
      </w:r>
      <w:r w:rsidR="004148D8">
        <w:t xml:space="preserve"> DL transmission timing</w:t>
      </w:r>
      <w:r w:rsidR="004552F9">
        <w:t xml:space="preserve"> and </w:t>
      </w:r>
      <w:r w:rsidR="004148D8">
        <w:t xml:space="preserve">the data transmitted from UE1 </w:t>
      </w:r>
      <w:r w:rsidR="004552F9">
        <w:t xml:space="preserve">will thus be received </w:t>
      </w:r>
      <w:r w:rsidR="000A0C20">
        <w:t xml:space="preserve">at its serving gNB </w:t>
      </w:r>
      <w:r w:rsidR="004148D8">
        <w:t>with a time offset</w:t>
      </w:r>
      <w:r w:rsidR="004552F9">
        <w:t xml:space="preserve">  </w:t>
      </w:r>
      <m:oMath>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d</m:t>
            </m:r>
          </m:sub>
          <m:sup>
            <m:d>
              <m:dPr>
                <m:ctrlPr>
                  <w:rPr>
                    <w:rFonts w:ascii="Cambria Math" w:hAnsi="Cambria Math"/>
                    <w:i/>
                  </w:rPr>
                </m:ctrlPr>
              </m:dPr>
              <m:e>
                <m:r>
                  <w:rPr>
                    <w:rFonts w:ascii="Cambria Math" w:hAnsi="Cambria Math"/>
                  </w:rPr>
                  <m:t>1</m:t>
                </m:r>
              </m:e>
            </m:d>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d</m:t>
            </m:r>
          </m:sub>
          <m:sup>
            <m:d>
              <m:dPr>
                <m:ctrlPr>
                  <w:rPr>
                    <w:rFonts w:ascii="Cambria Math" w:hAnsi="Cambria Math"/>
                    <w:i/>
                  </w:rPr>
                </m:ctrlPr>
              </m:dPr>
              <m:e>
                <m:r>
                  <w:rPr>
                    <w:rFonts w:ascii="Cambria Math" w:hAnsi="Cambria Math"/>
                  </w:rPr>
                  <m:t>1</m:t>
                </m:r>
              </m:e>
            </m:d>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 xml:space="preserve"> </m:t>
        </m:r>
      </m:oMath>
      <w:r w:rsidR="00D13DCA">
        <w:t xml:space="preserve"> relative to its serving gNB’s DL transmission timing</w:t>
      </w:r>
      <w:r w:rsidR="0028505D">
        <w:t xml:space="preserve">, where </w:t>
      </w:r>
      <m:oMath>
        <m:sSub>
          <m:sSubPr>
            <m:ctrlPr>
              <w:rPr>
                <w:rFonts w:ascii="Cambria Math" w:hAnsi="Cambria Math"/>
                <w:i/>
              </w:rPr>
            </m:ctrlPr>
          </m:sSubPr>
          <m:e>
            <m:r>
              <w:rPr>
                <w:rFonts w:ascii="Cambria Math" w:hAnsi="Cambria Math"/>
              </w:rPr>
              <m:t>N</m:t>
            </m:r>
          </m:e>
          <m:sub>
            <m:r>
              <w:rPr>
                <w:rFonts w:ascii="Cambria Math" w:hAnsi="Cambria Math"/>
              </w:rPr>
              <m:t>TA,offset</m:t>
            </m:r>
          </m:sub>
        </m:sSub>
        <m:sSub>
          <m:sSubPr>
            <m:ctrlPr>
              <w:rPr>
                <w:rFonts w:ascii="Cambria Math" w:hAnsi="Cambria Math"/>
                <w:i/>
              </w:rPr>
            </m:ctrlPr>
          </m:sSubPr>
          <m:e>
            <m:r>
              <w:rPr>
                <w:rFonts w:ascii="Cambria Math" w:hAnsi="Cambria Math"/>
              </w:rPr>
              <m:t>T</m:t>
            </m:r>
          </m:e>
          <m:sub>
            <m:r>
              <w:rPr>
                <w:rFonts w:ascii="Cambria Math" w:hAnsi="Cambria Math"/>
              </w:rPr>
              <m:t>c</m:t>
            </m:r>
          </m:sub>
        </m:sSub>
      </m:oMath>
      <w:r w:rsidR="001A75E8">
        <w:t xml:space="preserve"> </w:t>
      </w:r>
      <w:r w:rsidR="002C4C1D">
        <w:t xml:space="preserve">is the fixed offset </w:t>
      </w:r>
      <w:r w:rsidR="00505760">
        <w:t xml:space="preserve">between </w:t>
      </w:r>
      <w:r w:rsidR="00942DBE">
        <w:t>the UL</w:t>
      </w:r>
      <w:r w:rsidR="00505760">
        <w:t xml:space="preserve"> reception timing</w:t>
      </w:r>
      <w:r w:rsidR="00942DBE">
        <w:t xml:space="preserve"> and </w:t>
      </w:r>
      <w:r w:rsidR="00505760">
        <w:t xml:space="preserve">the </w:t>
      </w:r>
      <w:r w:rsidR="00942DBE">
        <w:t xml:space="preserve">DL </w:t>
      </w:r>
      <w:r w:rsidR="00505760">
        <w:t xml:space="preserve">transmission timing at a gNB, </w:t>
      </w:r>
      <w:r w:rsidR="00942DBE">
        <w:t xml:space="preserve"> </w:t>
      </w:r>
      <w:r w:rsidR="00505760">
        <w:t xml:space="preserve">and it is used </w:t>
      </w:r>
      <w:r w:rsidR="00942DBE">
        <w:t>to account for TX/RX switching processing time</w:t>
      </w:r>
      <w:r w:rsidR="00E418A8">
        <w:t xml:space="preserve">. </w:t>
      </w:r>
    </w:p>
    <w:p w14:paraId="698342E1" w14:textId="15635651" w:rsidR="00D0534F" w:rsidRDefault="00F56880" w:rsidP="003C59FC">
      <w:r>
        <w:t xml:space="preserve">If </w:t>
      </w:r>
      <w:r w:rsidR="005734E3">
        <w:t xml:space="preserve">the </w:t>
      </w:r>
      <w:r w:rsidR="00154834">
        <w:t>CLI-</w:t>
      </w:r>
      <w:r>
        <w:t xml:space="preserve">SRS is transmitted by UE1 with this </w:t>
      </w:r>
      <m:oMath>
        <m:sSub>
          <m:sSubPr>
            <m:ctrlPr>
              <w:rPr>
                <w:rFonts w:ascii="Cambria Math" w:hAnsi="Cambria Math"/>
                <w:i/>
              </w:rPr>
            </m:ctrlPr>
          </m:sSubPr>
          <m:e>
            <m:r>
              <w:rPr>
                <w:rFonts w:ascii="Cambria Math" w:hAnsi="Cambria Math"/>
              </w:rPr>
              <m:t>T</m:t>
            </m:r>
          </m:e>
          <m:sub>
            <m:r>
              <w:rPr>
                <w:rFonts w:ascii="Cambria Math" w:hAnsi="Cambria Math"/>
              </w:rPr>
              <m:t>TA</m:t>
            </m:r>
          </m:sub>
        </m:sSub>
      </m:oMath>
      <w:r>
        <w:t xml:space="preserve">, it will be received </w:t>
      </w:r>
      <w:r w:rsidR="00BF2796">
        <w:t xml:space="preserve">by UE2 </w:t>
      </w:r>
      <w:r w:rsidR="00C05FAF">
        <w:t xml:space="preserve">with a timing offset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T</m:t>
            </m:r>
          </m:sub>
        </m:sSub>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d</m:t>
            </m:r>
          </m:sub>
          <m:sup>
            <m:r>
              <w:rPr>
                <w:rFonts w:ascii="Cambria Math" w:hAnsi="Cambria Math"/>
              </w:rPr>
              <m:t>(2)</m:t>
            </m: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T</m:t>
                </m:r>
              </m:e>
              <m:sub>
                <m:r>
                  <w:rPr>
                    <w:rFonts w:ascii="Cambria Math" w:hAnsi="Cambria Math"/>
                  </w:rPr>
                  <m:t>d</m:t>
                </m:r>
              </m:sub>
              <m:sup>
                <m:d>
                  <m:dPr>
                    <m:ctrlPr>
                      <w:rPr>
                        <w:rFonts w:ascii="Cambria Math" w:hAnsi="Cambria Math"/>
                        <w:i/>
                      </w:rPr>
                    </m:ctrlPr>
                  </m:dPr>
                  <m:e>
                    <m:r>
                      <w:rPr>
                        <w:rFonts w:ascii="Cambria Math" w:hAnsi="Cambria Math"/>
                      </w:rPr>
                      <m:t>1</m:t>
                    </m:r>
                  </m:e>
                </m:d>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-T</m:t>
            </m:r>
          </m:e>
          <m:sub>
            <m:r>
              <w:rPr>
                <w:rFonts w:ascii="Cambria Math" w:hAnsi="Cambria Math"/>
              </w:rPr>
              <m:t>d</m:t>
            </m:r>
          </m:sub>
          <m:sup>
            <m:d>
              <m:dPr>
                <m:ctrlPr>
                  <w:rPr>
                    <w:rFonts w:ascii="Cambria Math" w:hAnsi="Cambria Math"/>
                    <w:i/>
                  </w:rPr>
                </m:ctrlPr>
              </m:dPr>
              <m:e>
                <m:r>
                  <w:rPr>
                    <w:rFonts w:ascii="Cambria Math" w:hAnsi="Cambria Math"/>
                  </w:rPr>
                  <m:t>3</m:t>
                </m:r>
              </m:e>
            </m:d>
          </m:sup>
        </m:sSubSup>
        <m:r>
          <w:rPr>
            <w:rFonts w:ascii="Cambria Math" w:hAnsi="Cambria Math"/>
          </w:rPr>
          <m:t xml:space="preserve"> </m:t>
        </m:r>
      </m:oMath>
      <w:r w:rsidR="00C05FAF">
        <w:t>relative</w:t>
      </w:r>
      <w:r w:rsidR="00154834">
        <w:t xml:space="preserve"> to</w:t>
      </w:r>
      <w:r w:rsidR="00C05FAF">
        <w:t xml:space="preserve"> </w:t>
      </w:r>
      <w:r w:rsidR="00154834">
        <w:t xml:space="preserve">UE2’s </w:t>
      </w:r>
      <w:r w:rsidR="00C05FAF">
        <w:t xml:space="preserve">downlink </w:t>
      </w:r>
      <w:r w:rsidR="00154834">
        <w:t xml:space="preserve">reception </w:t>
      </w:r>
      <w:r w:rsidR="00C05FAF">
        <w:t>timing</w:t>
      </w:r>
      <w:r w:rsidR="00D0534F">
        <w:t xml:space="preserve">, where </w:t>
      </w:r>
      <m:oMath>
        <m:sSubSup>
          <m:sSubSupPr>
            <m:ctrlPr>
              <w:rPr>
                <w:rFonts w:ascii="Cambria Math" w:hAnsi="Cambria Math"/>
                <w:i/>
              </w:rPr>
            </m:ctrlPr>
          </m:sSubSupPr>
          <m:e>
            <m:r>
              <w:rPr>
                <w:rFonts w:ascii="Cambria Math" w:hAnsi="Cambria Math"/>
              </w:rPr>
              <m:t>T</m:t>
            </m:r>
          </m:e>
          <m:sub>
            <m:r>
              <w:rPr>
                <w:rFonts w:ascii="Cambria Math" w:hAnsi="Cambria Math"/>
              </w:rPr>
              <m:t>d</m:t>
            </m:r>
          </m:sub>
          <m:sup>
            <m:r>
              <w:rPr>
                <w:rFonts w:ascii="Cambria Math" w:hAnsi="Cambria Math"/>
              </w:rPr>
              <m:t>(3)</m:t>
            </m:r>
          </m:sup>
        </m:sSubSup>
      </m:oMath>
      <w:r w:rsidR="00D0534F">
        <w:t xml:space="preserve"> is the propagation delay between UE1 and UE2.</w:t>
      </w:r>
      <w:r w:rsidR="00E577A7">
        <w:t xml:space="preserve"> </w:t>
      </w:r>
      <w:r w:rsidR="009D13EF">
        <w:t xml:space="preserve">This is visualized in </w:t>
      </w:r>
      <w:r w:rsidR="009D13EF">
        <w:fldChar w:fldCharType="begin"/>
      </w:r>
      <w:r w:rsidR="009D13EF">
        <w:instrText xml:space="preserve"> REF _Ref445177 \h </w:instrText>
      </w:r>
      <w:r w:rsidR="009D13EF">
        <w:fldChar w:fldCharType="separate"/>
      </w:r>
      <w:r w:rsidR="00A75490">
        <w:t xml:space="preserve">Figure </w:t>
      </w:r>
      <w:r w:rsidR="00A75490">
        <w:rPr>
          <w:noProof/>
        </w:rPr>
        <w:t>3</w:t>
      </w:r>
      <w:r w:rsidR="009D13EF">
        <w:fldChar w:fldCharType="end"/>
      </w:r>
      <w:r w:rsidR="009D13EF">
        <w:t xml:space="preserve">. </w:t>
      </w:r>
    </w:p>
    <w:p w14:paraId="2A37858A" w14:textId="26C2DC67" w:rsidR="00BB678D" w:rsidRDefault="007E1D9E" w:rsidP="003C59FC">
      <w:r>
        <w:t>Two</w:t>
      </w:r>
      <w:r w:rsidR="009D13EF">
        <w:t xml:space="preserve"> </w:t>
      </w:r>
      <w:r w:rsidR="00125A95">
        <w:t>(</w:t>
      </w:r>
      <w:r w:rsidR="005A42BB">
        <w:t>somewhat simplified</w:t>
      </w:r>
      <w:r w:rsidR="00125A95">
        <w:t>)</w:t>
      </w:r>
      <w:r w:rsidR="005A42BB">
        <w:t xml:space="preserve"> </w:t>
      </w:r>
      <w:r w:rsidR="009D13EF">
        <w:t>worst-case scenario</w:t>
      </w:r>
      <w:r>
        <w:t>s</w:t>
      </w:r>
      <w:r w:rsidR="009D13EF">
        <w:t xml:space="preserve"> </w:t>
      </w:r>
      <w:r>
        <w:t xml:space="preserve">are illustrated in </w:t>
      </w:r>
      <w:r>
        <w:fldChar w:fldCharType="begin"/>
      </w:r>
      <w:r>
        <w:instrText xml:space="preserve"> REF _Ref443917 \h </w:instrText>
      </w:r>
      <w:r>
        <w:fldChar w:fldCharType="separate"/>
      </w:r>
      <w:r w:rsidR="00A75490">
        <w:t xml:space="preserve">Figure </w:t>
      </w:r>
      <w:r w:rsidR="00A75490">
        <w:rPr>
          <w:noProof/>
        </w:rPr>
        <w:t>2</w:t>
      </w:r>
      <w:r>
        <w:fldChar w:fldCharType="end"/>
      </w:r>
      <w:r>
        <w:t xml:space="preserve">, where </w:t>
      </w:r>
      <w:r w:rsidR="009D13EF">
        <w:t xml:space="preserve">the </w:t>
      </w:r>
      <w:r>
        <w:t xml:space="preserve">aggressor and victim </w:t>
      </w:r>
      <w:r w:rsidR="009D13EF">
        <w:t>UEs</w:t>
      </w:r>
      <w:r>
        <w:t xml:space="preserve"> (UE1 and UE2)</w:t>
      </w:r>
      <w:r w:rsidR="009D13EF">
        <w:t xml:space="preserve"> are at </w:t>
      </w:r>
      <w:r w:rsidR="00D0534F">
        <w:t xml:space="preserve">roughly </w:t>
      </w:r>
      <w:r w:rsidR="009D13EF">
        <w:t xml:space="preserve">the same place, on the edge of </w:t>
      </w:r>
      <w:r w:rsidR="00BB678D">
        <w:t xml:space="preserve">their serving </w:t>
      </w:r>
      <w:r w:rsidR="009D13EF">
        <w:t>cells</w:t>
      </w:r>
      <w:r w:rsidR="00D0534F">
        <w:t xml:space="preserve">, so that </w:t>
      </w:r>
      <m:oMath>
        <m:sSubSup>
          <m:sSubSupPr>
            <m:ctrlPr>
              <w:rPr>
                <w:rFonts w:ascii="Cambria Math" w:hAnsi="Cambria Math"/>
                <w:i/>
              </w:rPr>
            </m:ctrlPr>
          </m:sSubSupPr>
          <m:e>
            <m:r>
              <w:rPr>
                <w:rFonts w:ascii="Cambria Math" w:hAnsi="Cambria Math"/>
              </w:rPr>
              <m:t>T</m:t>
            </m:r>
          </m:e>
          <m:sub>
            <m:r>
              <w:rPr>
                <w:rFonts w:ascii="Cambria Math" w:hAnsi="Cambria Math"/>
              </w:rPr>
              <m:t>d</m:t>
            </m:r>
          </m:sub>
          <m:sup>
            <m:r>
              <w:rPr>
                <w:rFonts w:ascii="Cambria Math" w:hAnsi="Cambria Math"/>
              </w:rPr>
              <m:t>(3)</m:t>
            </m:r>
          </m:sup>
        </m:sSubSup>
        <m:r>
          <w:rPr>
            <w:rFonts w:ascii="Cambria Math" w:hAnsi="Cambria Math"/>
          </w:rPr>
          <m:t>≈0</m:t>
        </m:r>
      </m:oMath>
      <w:r w:rsidR="009D13EF">
        <w:t xml:space="preserve">. </w:t>
      </w:r>
    </w:p>
    <w:p w14:paraId="56057249" w14:textId="5246FF1E" w:rsidR="005A42BB" w:rsidRDefault="006E07C0" w:rsidP="003C59FC">
      <w:r>
        <w:t xml:space="preserve">Scenario A in </w:t>
      </w:r>
      <w:r>
        <w:fldChar w:fldCharType="begin"/>
      </w:r>
      <w:r>
        <w:instrText xml:space="preserve"> REF _Ref443917 \h </w:instrText>
      </w:r>
      <w:r>
        <w:fldChar w:fldCharType="separate"/>
      </w:r>
      <w:r w:rsidR="00A75490">
        <w:t xml:space="preserve">Figure </w:t>
      </w:r>
      <w:r w:rsidR="00A75490">
        <w:rPr>
          <w:noProof/>
        </w:rPr>
        <w:t>2</w:t>
      </w:r>
      <w:r>
        <w:fldChar w:fldCharType="end"/>
      </w:r>
      <w:r>
        <w:t xml:space="preserve"> shows a homogenous deployment, where the cell sizes are similar, thus, </w:t>
      </w:r>
      <w:r w:rsidR="00721184">
        <w:t xml:space="preserve">similar propagation delays </w:t>
      </w:r>
      <w:r w:rsidR="009D13EF">
        <w:t xml:space="preserve"> </w:t>
      </w:r>
      <m:oMath>
        <m:r>
          <w:rPr>
            <w:rFonts w:ascii="Cambria Math" w:hAnsi="Cambria Math"/>
          </w:rPr>
          <m:t>T=</m:t>
        </m:r>
        <m:sSubSup>
          <m:sSubSupPr>
            <m:ctrlPr>
              <w:rPr>
                <w:rFonts w:ascii="Cambria Math" w:hAnsi="Cambria Math"/>
                <w:i/>
              </w:rPr>
            </m:ctrlPr>
          </m:sSubSupPr>
          <m:e>
            <m:r>
              <w:rPr>
                <w:rFonts w:ascii="Cambria Math" w:hAnsi="Cambria Math"/>
              </w:rPr>
              <m:t>T</m:t>
            </m:r>
          </m:e>
          <m:sub>
            <m:r>
              <w:rPr>
                <w:rFonts w:ascii="Cambria Math" w:hAnsi="Cambria Math"/>
              </w:rPr>
              <m:t>d</m:t>
            </m:r>
          </m:sub>
          <m:sup>
            <m:d>
              <m:dPr>
                <m:ctrlPr>
                  <w:rPr>
                    <w:rFonts w:ascii="Cambria Math" w:hAnsi="Cambria Math"/>
                    <w:i/>
                  </w:rPr>
                </m:ctrlPr>
              </m:dPr>
              <m:e>
                <m:r>
                  <w:rPr>
                    <w:rFonts w:ascii="Cambria Math" w:hAnsi="Cambria Math"/>
                  </w:rPr>
                  <m:t>1</m:t>
                </m:r>
              </m:e>
            </m:d>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d</m:t>
            </m:r>
          </m:sub>
          <m:sup>
            <m:r>
              <w:rPr>
                <w:rFonts w:ascii="Cambria Math" w:hAnsi="Cambria Math"/>
              </w:rPr>
              <m:t>(2)</m:t>
            </m:r>
          </m:sup>
        </m:sSubSup>
      </m:oMath>
      <w:r w:rsidR="00721184">
        <w:t>can be assumed.</w:t>
      </w:r>
      <w:r w:rsidR="009D13EF">
        <w:t xml:space="preserve"> </w:t>
      </w:r>
      <w:r w:rsidR="00943B17">
        <w:t xml:space="preserve">Then, for the victim UE (UE2), the timing offset between its CLI-SRS reception timing and its DL reception timing can be approximated by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T</m:t>
            </m:r>
          </m:sub>
        </m:sSub>
        <m:r>
          <w:rPr>
            <w:rFonts w:ascii="Cambria Math" w:hAnsi="Cambria Math"/>
          </w:rPr>
          <m:t>=2T+</m:t>
        </m:r>
        <m:sSub>
          <m:sSubPr>
            <m:ctrlPr>
              <w:rPr>
                <w:rFonts w:ascii="Cambria Math" w:hAnsi="Cambria Math"/>
                <w:i/>
              </w:rPr>
            </m:ctrlPr>
          </m:sSubPr>
          <m:e>
            <m:r>
              <w:rPr>
                <w:rFonts w:ascii="Cambria Math" w:hAnsi="Cambria Math"/>
              </w:rPr>
              <m:t>N</m:t>
            </m:r>
          </m:e>
          <m:sub>
            <m:r>
              <w:rPr>
                <w:rFonts w:ascii="Cambria Math" w:hAnsi="Cambria Math"/>
              </w:rPr>
              <m:t>TA,offset</m:t>
            </m:r>
          </m:sub>
        </m:sSub>
        <m:sSub>
          <m:sSubPr>
            <m:ctrlPr>
              <w:rPr>
                <w:rFonts w:ascii="Cambria Math" w:hAnsi="Cambria Math"/>
                <w:i/>
              </w:rPr>
            </m:ctrlPr>
          </m:sSubPr>
          <m:e>
            <m:r>
              <w:rPr>
                <w:rFonts w:ascii="Cambria Math" w:hAnsi="Cambria Math"/>
              </w:rPr>
              <m:t>T</m:t>
            </m:r>
          </m:e>
          <m:sub>
            <m:r>
              <w:rPr>
                <w:rFonts w:ascii="Cambria Math" w:hAnsi="Cambria Math"/>
              </w:rPr>
              <m:t>c</m:t>
            </m:r>
          </m:sub>
        </m:sSub>
      </m:oMath>
      <w:r w:rsidR="009F64C8" w:rsidRPr="009F64C8">
        <w:t xml:space="preserve">, and </w:t>
      </w:r>
      <w:r w:rsidR="008552B4">
        <w:t xml:space="preserve">the value of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T</m:t>
            </m:r>
          </m:sub>
        </m:sSub>
      </m:oMath>
      <w:r w:rsidR="008552B4">
        <w:t xml:space="preserve"> </w:t>
      </w:r>
      <w:r w:rsidR="009F64C8" w:rsidRPr="009F64C8">
        <w:t xml:space="preserve">depends on the cell radius as </w:t>
      </w:r>
      <m:oMath>
        <m:r>
          <w:rPr>
            <w:rFonts w:ascii="Cambria Math" w:hAnsi="Cambria Math"/>
          </w:rPr>
          <m:t>T=d</m:t>
        </m:r>
        <m:r>
          <m:rPr>
            <m:nor/>
          </m:rPr>
          <w:rPr>
            <w:rFonts w:ascii="Cambria Math" w:hAnsi="Cambria Math"/>
          </w:rPr>
          <m:t>/</m:t>
        </m:r>
        <m:r>
          <w:rPr>
            <w:rFonts w:ascii="Cambria Math" w:hAnsi="Cambria Math"/>
          </w:rPr>
          <m:t>c</m:t>
        </m:r>
      </m:oMath>
      <w:r w:rsidR="005A42BB">
        <w:t xml:space="preserve">, where </w:t>
      </w:r>
      <m:oMath>
        <m:r>
          <w:rPr>
            <w:rFonts w:ascii="Cambria Math" w:hAnsi="Cambria Math"/>
          </w:rPr>
          <m:t>d=</m:t>
        </m:r>
        <m:sSup>
          <m:sSupPr>
            <m:ctrlPr>
              <w:rPr>
                <w:rFonts w:ascii="Cambria Math" w:hAnsi="Cambria Math"/>
                <w:i/>
              </w:rPr>
            </m:ctrlPr>
          </m:sSupPr>
          <m:e>
            <m:r>
              <w:rPr>
                <w:rFonts w:ascii="Cambria Math" w:hAnsi="Cambria Math"/>
              </w:rPr>
              <m:t>d</m:t>
            </m:r>
          </m:e>
          <m:sup>
            <m:r>
              <w:rPr>
                <w:rFonts w:ascii="Cambria Math" w:hAnsi="Cambria Math"/>
              </w:rPr>
              <m:t>(1)</m:t>
            </m:r>
          </m:sup>
        </m:sSup>
        <m:r>
          <m:rPr>
            <m:nor/>
          </m:rP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(2)</m:t>
            </m:r>
          </m:sup>
        </m:sSup>
      </m:oMath>
      <w:r w:rsidR="005A42BB">
        <w:t xml:space="preserve"> is the </w:t>
      </w:r>
      <w:r w:rsidR="009F7D93">
        <w:t xml:space="preserve">cell radius </w:t>
      </w:r>
      <w:r w:rsidR="005A42BB">
        <w:t xml:space="preserve">and </w:t>
      </w:r>
      <m:oMath>
        <m:r>
          <w:rPr>
            <w:rFonts w:ascii="Cambria Math" w:hAnsi="Cambria Math"/>
          </w:rPr>
          <m:t>c</m:t>
        </m:r>
      </m:oMath>
      <w:r w:rsidR="005A42BB">
        <w:t xml:space="preserve"> the speed of light.</w:t>
      </w:r>
    </w:p>
    <w:p w14:paraId="59FC035E" w14:textId="252228F7" w:rsidR="0059774B" w:rsidRDefault="0059774B" w:rsidP="0059774B">
      <w:r>
        <w:t xml:space="preserve">Scenario B in </w:t>
      </w:r>
      <w:r>
        <w:fldChar w:fldCharType="begin"/>
      </w:r>
      <w:r>
        <w:instrText xml:space="preserve"> REF _Ref443917 \h </w:instrText>
      </w:r>
      <w:r>
        <w:fldChar w:fldCharType="separate"/>
      </w:r>
      <w:r w:rsidR="00A75490">
        <w:t xml:space="preserve">Figure </w:t>
      </w:r>
      <w:r w:rsidR="00A75490">
        <w:rPr>
          <w:noProof/>
        </w:rPr>
        <w:t>2</w:t>
      </w:r>
      <w:r>
        <w:fldChar w:fldCharType="end"/>
      </w:r>
      <w:r>
        <w:t xml:space="preserve"> shows a heterogenous deployment, e.g., a macro-to-indoor scenario, where the cell sizes are different. In this scenario, the timing offset can also be approximated by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T</m:t>
            </m:r>
          </m:sub>
        </m:sSub>
        <m:r>
          <w:rPr>
            <w:rFonts w:ascii="Cambria Math" w:hAnsi="Cambria Math"/>
          </w:rPr>
          <m:t>=2T+</m:t>
        </m:r>
        <m:sSub>
          <m:sSubPr>
            <m:ctrlPr>
              <w:rPr>
                <w:rFonts w:ascii="Cambria Math" w:hAnsi="Cambria Math"/>
                <w:i/>
              </w:rPr>
            </m:ctrlPr>
          </m:sSubPr>
          <m:e>
            <m:r>
              <w:rPr>
                <w:rFonts w:ascii="Cambria Math" w:hAnsi="Cambria Math"/>
              </w:rPr>
              <m:t>N</m:t>
            </m:r>
          </m:e>
          <m:sub>
            <m:r>
              <w:rPr>
                <w:rFonts w:ascii="Cambria Math" w:hAnsi="Cambria Math"/>
              </w:rPr>
              <m:t>TA,offset</m:t>
            </m:r>
          </m:sub>
        </m:sSub>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w:t>
      </w:r>
      <w:r w:rsidR="00D47479">
        <w:t xml:space="preserve">different from scenario A, </w:t>
      </w:r>
      <w:r>
        <w:t xml:space="preserve">the value of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T</m:t>
            </m:r>
          </m:sub>
        </m:sSub>
      </m:oMath>
      <w:r>
        <w:t xml:space="preserve"> for </w:t>
      </w:r>
      <w:r w:rsidR="00D47479">
        <w:t>S</w:t>
      </w:r>
      <w:r>
        <w:t xml:space="preserve">cenario </w:t>
      </w:r>
      <w:r w:rsidR="00D47479">
        <w:t xml:space="preserve">B </w:t>
      </w:r>
      <w:r w:rsidRPr="009F64C8">
        <w:t xml:space="preserve">depends on the </w:t>
      </w:r>
      <w:r>
        <w:t xml:space="preserve">average cell radius of the two interfering cells, i.e., </w:t>
      </w:r>
      <w:r w:rsidRPr="009F64C8">
        <w:t xml:space="preserve"> </w:t>
      </w:r>
      <m:oMath>
        <m:r>
          <w:rPr>
            <w:rFonts w:ascii="Cambria Math" w:hAnsi="Cambria Math"/>
          </w:rPr>
          <m:t>T=d</m:t>
        </m:r>
        <m:r>
          <m:rPr>
            <m:nor/>
          </m:rPr>
          <w:rPr>
            <w:rFonts w:ascii="Cambria Math" w:hAnsi="Cambria Math"/>
          </w:rPr>
          <m:t>/</m:t>
        </m:r>
        <m:r>
          <w:rPr>
            <w:rFonts w:ascii="Cambria Math" w:hAnsi="Cambria Math"/>
          </w:rPr>
          <m:t>c</m:t>
        </m:r>
      </m:oMath>
      <w:r>
        <w:t xml:space="preserve"> and </w:t>
      </w:r>
      <m:oMath>
        <m:r>
          <w:rPr>
            <w:rFonts w:ascii="Cambria Math" w:hAnsi="Cambria Math"/>
          </w:rPr>
          <m:t>d=</m:t>
        </m:r>
        <m:f>
          <m:fPr>
            <m:ctrlPr>
              <w:rPr>
                <w:rFonts w:ascii="Cambria Math" w:hAnsi="Cambria Math"/>
                <w:i/>
              </w:rPr>
            </m:ctrlPr>
          </m:fPr>
          <m:num>
            <m:sSup>
              <m:sSupPr>
                <m:ctrlPr>
                  <w:rPr>
                    <w:rFonts w:ascii="Cambria Math" w:hAnsi="Cambria Math"/>
                    <w:i/>
                  </w:rPr>
                </m:ctrlPr>
              </m:sSupPr>
              <m:e>
                <m:r>
                  <w:rPr>
                    <w:rFonts w:ascii="Cambria Math" w:hAnsi="Cambria Math"/>
                  </w:rPr>
                  <m:t>d</m:t>
                </m:r>
              </m:e>
              <m:sup>
                <m:r>
                  <w:rPr>
                    <w:rFonts w:ascii="Cambria Math" w:hAnsi="Cambria Math"/>
                  </w:rPr>
                  <m:t>(1)</m:t>
                </m:r>
              </m:sup>
            </m:sSup>
            <m:r>
              <m:rPr>
                <m:nor/>
              </m:rP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(2)</m:t>
                </m:r>
              </m:sup>
            </m:sSup>
          </m:num>
          <m:den>
            <m:r>
              <w:rPr>
                <w:rFonts w:ascii="Cambria Math" w:hAnsi="Cambria Math"/>
              </w:rPr>
              <m:t>2</m:t>
            </m:r>
          </m:den>
        </m:f>
      </m:oMath>
      <w:r>
        <w:t>.</w:t>
      </w:r>
      <w:r w:rsidR="00512306">
        <w:t xml:space="preserve"> Note that the </w:t>
      </w:r>
      <w:r w:rsidR="00A84D63">
        <w:t xml:space="preserve">approximation </w:t>
      </w:r>
      <w:r w:rsidR="00512306">
        <w:t xml:space="preserve">of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T</m:t>
            </m:r>
          </m:sub>
        </m:sSub>
      </m:oMath>
      <w:r w:rsidR="00A84D63">
        <w:t xml:space="preserve"> for </w:t>
      </w:r>
      <w:r w:rsidR="008C35F4">
        <w:t>Scenario</w:t>
      </w:r>
      <w:r w:rsidR="00A84D63">
        <w:t xml:space="preserve"> A is a special case of the approximation of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T</m:t>
            </m:r>
          </m:sub>
        </m:sSub>
      </m:oMath>
      <w:r w:rsidR="00A84D63">
        <w:t xml:space="preserve"> for Scenario B.</w:t>
      </w:r>
    </w:p>
    <w:p w14:paraId="49F40FE3" w14:textId="57802A0C" w:rsidR="00EF0F5D" w:rsidRDefault="005A42BB" w:rsidP="003C59FC">
      <w:r>
        <w:lastRenderedPageBreak/>
        <w:t>The timing misalignment for different cell sizes and numerologies</w:t>
      </w:r>
      <w:r w:rsidR="00F45BF8">
        <w:t xml:space="preserve"> for this case</w:t>
      </w:r>
      <w:r>
        <w:t xml:space="preserve"> are presented in </w:t>
      </w:r>
      <w:r w:rsidR="005920B8">
        <w:fldChar w:fldCharType="begin"/>
      </w:r>
      <w:r w:rsidR="005920B8">
        <w:instrText xml:space="preserve"> REF _Ref446659 \h </w:instrText>
      </w:r>
      <w:r w:rsidR="005920B8">
        <w:fldChar w:fldCharType="separate"/>
      </w:r>
      <w:r w:rsidR="00A75490">
        <w:t xml:space="preserve">Table </w:t>
      </w:r>
      <w:r w:rsidR="00A75490">
        <w:rPr>
          <w:noProof/>
        </w:rPr>
        <w:t>1</w:t>
      </w:r>
      <w:r w:rsidR="005920B8">
        <w:fldChar w:fldCharType="end"/>
      </w:r>
      <w:r w:rsidR="00981259">
        <w:t>, which indicates both</w:t>
      </w:r>
      <w:r w:rsidR="00536695">
        <w:t xml:space="preserve"> the timing misalignment </w:t>
      </w:r>
      <m:oMath>
        <m:sSub>
          <m:sSubPr>
            <m:ctrlPr>
              <w:rPr>
                <w:rFonts w:ascii="Cambria Math" w:hAnsi="Cambria Math"/>
                <w:i/>
              </w:rPr>
            </m:ctrlPr>
          </m:sSubPr>
          <m:e>
            <m:r>
              <w:rPr>
                <w:rFonts w:ascii="Cambria Math" w:hAnsi="Cambria Math"/>
              </w:rPr>
              <m:t>ϵ</m:t>
            </m:r>
          </m:e>
          <m:sub>
            <m:r>
              <w:rPr>
                <w:rFonts w:ascii="Cambria Math" w:hAnsi="Cambria Math"/>
              </w:rPr>
              <m:t>1</m:t>
            </m:r>
          </m:sub>
        </m:sSub>
      </m:oMath>
      <w:r w:rsidR="00536695">
        <w:t xml:space="preserve"> as well as the resulting timing </w:t>
      </w:r>
      <w:r w:rsidR="00ED12DC">
        <w:t>misalignment</w:t>
      </w:r>
      <w:r w:rsidR="00536695">
        <w:t xml:space="preserve"> </w:t>
      </w:r>
      <m:oMath>
        <m:sSub>
          <m:sSubPr>
            <m:ctrlPr>
              <w:rPr>
                <w:rFonts w:ascii="Cambria Math" w:hAnsi="Cambria Math"/>
                <w:i/>
              </w:rPr>
            </m:ctrlPr>
          </m:sSubPr>
          <m:e>
            <m:r>
              <w:rPr>
                <w:rFonts w:ascii="Cambria Math" w:hAnsi="Cambria Math"/>
              </w:rPr>
              <m:t>ϵ</m:t>
            </m:r>
          </m:e>
          <m:sub>
            <m:r>
              <w:rPr>
                <w:rFonts w:ascii="Cambria Math" w:hAnsi="Cambria Math"/>
              </w:rPr>
              <m:t>2</m:t>
            </m:r>
          </m:sub>
        </m:sSub>
      </m:oMath>
      <w:r w:rsidR="00536695">
        <w:t xml:space="preserve"> if the SRS measurement timing window is offset by </w:t>
      </w:r>
      <m:oMath>
        <m:sSub>
          <m:sSubPr>
            <m:ctrlPr>
              <w:rPr>
                <w:rFonts w:ascii="Cambria Math" w:hAnsi="Cambria Math"/>
                <w:i/>
              </w:rPr>
            </m:ctrlPr>
          </m:sSubPr>
          <m:e>
            <m:r>
              <w:rPr>
                <w:rFonts w:ascii="Cambria Math" w:hAnsi="Cambria Math"/>
              </w:rPr>
              <m:t>N</m:t>
            </m:r>
          </m:e>
          <m:sub>
            <m:r>
              <w:rPr>
                <w:rFonts w:ascii="Cambria Math" w:hAnsi="Cambria Math"/>
              </w:rPr>
              <m:t>TA,offset</m:t>
            </m:r>
          </m:sub>
        </m:sSub>
        <m:sSub>
          <m:sSubPr>
            <m:ctrlPr>
              <w:rPr>
                <w:rFonts w:ascii="Cambria Math" w:hAnsi="Cambria Math"/>
                <w:i/>
              </w:rPr>
            </m:ctrlPr>
          </m:sSubPr>
          <m:e>
            <m:r>
              <w:rPr>
                <w:rFonts w:ascii="Cambria Math" w:hAnsi="Cambria Math"/>
              </w:rPr>
              <m:t>T</m:t>
            </m:r>
          </m:e>
          <m:sub>
            <m:r>
              <w:rPr>
                <w:rFonts w:ascii="Cambria Math" w:hAnsi="Cambria Math"/>
              </w:rPr>
              <m:t>c</m:t>
            </m:r>
          </m:sub>
        </m:sSub>
      </m:oMath>
      <w:r w:rsidR="005920B8">
        <w:t>.</w:t>
      </w:r>
      <w:r w:rsidR="00EF0F5D">
        <w:t xml:space="preserve"> </w:t>
      </w:r>
      <w:r w:rsidR="00BC44B6">
        <w:t xml:space="preserve">The timing misalignments were </w:t>
      </w:r>
      <w:r w:rsidR="00EF0F5D">
        <w:t>calculated as</w:t>
      </w:r>
    </w:p>
    <w:p w14:paraId="79C7C5D3" w14:textId="4EB77CEB" w:rsidR="009F06D6" w:rsidRPr="00536695" w:rsidRDefault="005837DC" w:rsidP="003C59FC">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ϵ</m:t>
                  </m:r>
                </m:e>
                <m:sub>
                  <m:r>
                    <w:rPr>
                      <w:rFonts w:ascii="Cambria Math" w:hAnsi="Cambria Math"/>
                    </w:rPr>
                    <m:t>1</m:t>
                  </m:r>
                </m:sub>
              </m:sSub>
            </m:e>
            <m:sub>
              <m:r>
                <w:rPr>
                  <w:rFonts w:ascii="Cambria Math" w:hAnsi="Cambria Math"/>
                </w:rPr>
                <m:t>%</m:t>
              </m:r>
            </m:sub>
          </m:sSub>
          <m:r>
            <w:rPr>
              <w:rFonts w:ascii="Cambria Math" w:hAnsi="Cambria Math"/>
            </w:rPr>
            <m:t>=100⋅</m:t>
          </m:r>
          <m:f>
            <m:fPr>
              <m:ctrlPr>
                <w:rPr>
                  <w:rFonts w:ascii="Cambria Math" w:hAnsi="Cambria Math"/>
                  <w:i/>
                </w:rPr>
              </m:ctrlPr>
            </m:fPr>
            <m:num>
              <m:r>
                <w:rPr>
                  <w:rFonts w:ascii="Cambria Math" w:hAnsi="Cambria Math"/>
                </w:rPr>
                <m:t>2T+</m:t>
              </m:r>
              <m:sSub>
                <m:sSubPr>
                  <m:ctrlPr>
                    <w:rPr>
                      <w:rFonts w:ascii="Cambria Math" w:hAnsi="Cambria Math"/>
                      <w:i/>
                    </w:rPr>
                  </m:ctrlPr>
                </m:sSubPr>
                <m:e>
                  <m:r>
                    <w:rPr>
                      <w:rFonts w:ascii="Cambria Math" w:hAnsi="Cambria Math"/>
                    </w:rPr>
                    <m:t>N</m:t>
                  </m:r>
                </m:e>
                <m:sub>
                  <m:r>
                    <w:rPr>
                      <w:rFonts w:ascii="Cambria Math" w:hAnsi="Cambria Math"/>
                    </w:rPr>
                    <m:t>TA,offset</m:t>
                  </m:r>
                </m:sub>
              </m:sSub>
              <m:sSub>
                <m:sSubPr>
                  <m:ctrlPr>
                    <w:rPr>
                      <w:rFonts w:ascii="Cambria Math" w:hAnsi="Cambria Math"/>
                      <w:i/>
                    </w:rPr>
                  </m:ctrlPr>
                </m:sSubPr>
                <m:e>
                  <m:r>
                    <w:rPr>
                      <w:rFonts w:ascii="Cambria Math" w:hAnsi="Cambria Math"/>
                    </w:rPr>
                    <m:t>T</m:t>
                  </m:r>
                </m:e>
                <m:sub>
                  <m:r>
                    <w:rPr>
                      <w:rFonts w:ascii="Cambria Math" w:hAnsi="Cambria Math"/>
                    </w:rPr>
                    <m:t>c</m:t>
                  </m:r>
                </m:sub>
              </m:sSub>
            </m:num>
            <m:den>
              <m:sSub>
                <m:sSubPr>
                  <m:ctrlPr>
                    <w:rPr>
                      <w:rFonts w:ascii="Cambria Math" w:hAnsi="Cambria Math"/>
                      <w:i/>
                    </w:rPr>
                  </m:ctrlPr>
                </m:sSubPr>
                <m:e>
                  <m:r>
                    <w:rPr>
                      <w:rFonts w:ascii="Cambria Math" w:hAnsi="Cambria Math"/>
                    </w:rPr>
                    <m:t>T</m:t>
                  </m:r>
                </m:e>
                <m:sub>
                  <m:r>
                    <w:rPr>
                      <w:rFonts w:ascii="Cambria Math" w:hAnsi="Cambria Math"/>
                    </w:rPr>
                    <m:t>u</m:t>
                  </m:r>
                </m:sub>
              </m:sSub>
            </m:den>
          </m:f>
          <m:r>
            <w:rPr>
              <w:rFonts w:ascii="Cambria Math" w:hAnsi="Cambria Math"/>
            </w:rPr>
            <m:t>=100⋅</m:t>
          </m:r>
          <m:f>
            <m:fPr>
              <m:ctrlPr>
                <w:rPr>
                  <w:rFonts w:ascii="Cambria Math" w:hAnsi="Cambria Math"/>
                  <w:i/>
                </w:rPr>
              </m:ctrlPr>
            </m:fPr>
            <m:num>
              <m:r>
                <w:rPr>
                  <w:rFonts w:ascii="Cambria Math" w:hAnsi="Cambria Math"/>
                </w:rPr>
                <m:t>2</m:t>
              </m:r>
              <m:f>
                <m:fPr>
                  <m:ctrlPr>
                    <w:rPr>
                      <w:rFonts w:ascii="Cambria Math" w:hAnsi="Cambria Math"/>
                      <w:i/>
                    </w:rPr>
                  </m:ctrlPr>
                </m:fPr>
                <m:num>
                  <m:r>
                    <w:rPr>
                      <w:rFonts w:ascii="Cambria Math" w:hAnsi="Cambria Math"/>
                    </w:rPr>
                    <m:t>d</m:t>
                  </m:r>
                </m:num>
                <m:den>
                  <m:r>
                    <w:rPr>
                      <w:rFonts w:ascii="Cambria Math" w:hAnsi="Cambria Math"/>
                    </w:rPr>
                    <m:t>c</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sSub>
                <m:sSubPr>
                  <m:ctrlPr>
                    <w:rPr>
                      <w:rFonts w:ascii="Cambria Math" w:hAnsi="Cambria Math"/>
                      <w:i/>
                    </w:rPr>
                  </m:ctrlPr>
                </m:sSubPr>
                <m:e>
                  <m:r>
                    <w:rPr>
                      <w:rFonts w:ascii="Cambria Math" w:hAnsi="Cambria Math"/>
                    </w:rPr>
                    <m:t>T</m:t>
                  </m:r>
                </m:e>
                <m:sub>
                  <m:r>
                    <w:rPr>
                      <w:rFonts w:ascii="Cambria Math" w:hAnsi="Cambria Math"/>
                    </w:rPr>
                    <m:t>c</m:t>
                  </m:r>
                </m:sub>
              </m:sSub>
            </m:num>
            <m:den>
              <m:sSub>
                <m:sSubPr>
                  <m:ctrlPr>
                    <w:rPr>
                      <w:rFonts w:ascii="Cambria Math" w:hAnsi="Cambria Math"/>
                      <w:i/>
                    </w:rPr>
                  </m:ctrlPr>
                </m:sSubPr>
                <m:e>
                  <m:r>
                    <w:rPr>
                      <w:rFonts w:ascii="Cambria Math" w:hAnsi="Cambria Math"/>
                    </w:rPr>
                    <m:t>T</m:t>
                  </m:r>
                </m:e>
                <m:sub>
                  <m:r>
                    <w:rPr>
                      <w:rFonts w:ascii="Cambria Math" w:hAnsi="Cambria Math"/>
                    </w:rPr>
                    <m:t>u</m:t>
                  </m:r>
                </m:sub>
              </m:sSub>
            </m:den>
          </m:f>
          <m:r>
            <w:rPr>
              <w:rFonts w:ascii="Cambria Math" w:hAnsi="Cambria Math"/>
            </w:rPr>
            <m:t>,</m:t>
          </m:r>
        </m:oMath>
      </m:oMathPara>
    </w:p>
    <w:p w14:paraId="70840031" w14:textId="3A1A2CFF" w:rsidR="00536695" w:rsidRPr="00EF0F5D" w:rsidRDefault="005837DC" w:rsidP="003C59FC">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ϵ</m:t>
                  </m:r>
                </m:e>
                <m:sub>
                  <m:r>
                    <w:rPr>
                      <w:rFonts w:ascii="Cambria Math" w:hAnsi="Cambria Math"/>
                    </w:rPr>
                    <m:t>2</m:t>
                  </m:r>
                </m:sub>
              </m:sSub>
            </m:e>
            <m:sub>
              <m:r>
                <w:rPr>
                  <w:rFonts w:ascii="Cambria Math" w:hAnsi="Cambria Math"/>
                </w:rPr>
                <m:t>%</m:t>
              </m:r>
            </m:sub>
          </m:sSub>
          <m:r>
            <w:rPr>
              <w:rFonts w:ascii="Cambria Math" w:hAnsi="Cambria Math"/>
            </w:rPr>
            <m:t>=100⋅</m:t>
          </m:r>
          <m:f>
            <m:fPr>
              <m:ctrlPr>
                <w:rPr>
                  <w:rFonts w:ascii="Cambria Math" w:hAnsi="Cambria Math"/>
                  <w:i/>
                </w:rPr>
              </m:ctrlPr>
            </m:fPr>
            <m:num>
              <m:r>
                <w:rPr>
                  <w:rFonts w:ascii="Cambria Math" w:hAnsi="Cambria Math"/>
                </w:rPr>
                <m:t>2T</m:t>
              </m:r>
            </m:num>
            <m:den>
              <m:sSub>
                <m:sSubPr>
                  <m:ctrlPr>
                    <w:rPr>
                      <w:rFonts w:ascii="Cambria Math" w:hAnsi="Cambria Math"/>
                      <w:i/>
                    </w:rPr>
                  </m:ctrlPr>
                </m:sSubPr>
                <m:e>
                  <m:r>
                    <w:rPr>
                      <w:rFonts w:ascii="Cambria Math" w:hAnsi="Cambria Math"/>
                    </w:rPr>
                    <m:t>T</m:t>
                  </m:r>
                </m:e>
                <m:sub>
                  <m:r>
                    <w:rPr>
                      <w:rFonts w:ascii="Cambria Math" w:hAnsi="Cambria Math"/>
                    </w:rPr>
                    <m:t>u</m:t>
                  </m:r>
                </m:sub>
              </m:sSub>
            </m:den>
          </m:f>
          <m:r>
            <w:rPr>
              <w:rFonts w:ascii="Cambria Math" w:hAnsi="Cambria Math"/>
            </w:rPr>
            <m:t>=100⋅</m:t>
          </m:r>
          <m:f>
            <m:fPr>
              <m:ctrlPr>
                <w:rPr>
                  <w:rFonts w:ascii="Cambria Math" w:hAnsi="Cambria Math"/>
                  <w:i/>
                </w:rPr>
              </m:ctrlPr>
            </m:fPr>
            <m:num>
              <m:r>
                <w:rPr>
                  <w:rFonts w:ascii="Cambria Math" w:hAnsi="Cambria Math"/>
                </w:rPr>
                <m:t>2</m:t>
              </m:r>
              <m:f>
                <m:fPr>
                  <m:ctrlPr>
                    <w:rPr>
                      <w:rFonts w:ascii="Cambria Math" w:hAnsi="Cambria Math"/>
                      <w:i/>
                    </w:rPr>
                  </m:ctrlPr>
                </m:fPr>
                <m:num>
                  <m:r>
                    <w:rPr>
                      <w:rFonts w:ascii="Cambria Math" w:hAnsi="Cambria Math"/>
                    </w:rPr>
                    <m:t>d</m:t>
                  </m:r>
                </m:num>
                <m:den>
                  <m:r>
                    <w:rPr>
                      <w:rFonts w:ascii="Cambria Math" w:hAnsi="Cambria Math"/>
                    </w:rPr>
                    <m:t>c</m:t>
                  </m:r>
                </m:den>
              </m:f>
            </m:num>
            <m:den>
              <m:sSub>
                <m:sSubPr>
                  <m:ctrlPr>
                    <w:rPr>
                      <w:rFonts w:ascii="Cambria Math" w:hAnsi="Cambria Math"/>
                      <w:i/>
                    </w:rPr>
                  </m:ctrlPr>
                </m:sSubPr>
                <m:e>
                  <m:r>
                    <w:rPr>
                      <w:rFonts w:ascii="Cambria Math" w:hAnsi="Cambria Math"/>
                    </w:rPr>
                    <m:t>T</m:t>
                  </m:r>
                </m:e>
                <m:sub>
                  <m:r>
                    <w:rPr>
                      <w:rFonts w:ascii="Cambria Math" w:hAnsi="Cambria Math"/>
                    </w:rPr>
                    <m:t>u</m:t>
                  </m:r>
                </m:sub>
              </m:sSub>
            </m:den>
          </m:f>
          <m:r>
            <w:rPr>
              <w:rFonts w:ascii="Cambria Math" w:hAnsi="Cambria Math"/>
            </w:rPr>
            <m:t>,</m:t>
          </m:r>
        </m:oMath>
      </m:oMathPara>
    </w:p>
    <w:p w14:paraId="7AAEA7C0" w14:textId="4739E255" w:rsidR="00C130B7" w:rsidRDefault="00EF0F5D" w:rsidP="00627E93">
      <w:r>
        <w:t xml:space="preserve">where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is the symbol duration</w:t>
      </w:r>
      <w:r w:rsidR="00AA25DF">
        <w:t xml:space="preserve">,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AA25DF">
        <w:t xml:space="preserve"> </w:t>
      </w:r>
      <w:r w:rsidR="00AA25DF" w:rsidRPr="00AA25DF">
        <w:t>is the basic timing unit defined in TS 38.211</w:t>
      </w:r>
      <w:r w:rsidR="00AA25DF">
        <w:t xml:space="preserve"> and </w:t>
      </w:r>
      <m:oMath>
        <m:sSub>
          <m:sSubPr>
            <m:ctrlPr>
              <w:rPr>
                <w:rFonts w:ascii="Cambria Math" w:hAnsi="Cambria Math"/>
                <w:i/>
              </w:rPr>
            </m:ctrlPr>
          </m:sSubPr>
          <m:e>
            <m:r>
              <w:rPr>
                <w:rFonts w:ascii="Cambria Math" w:hAnsi="Cambria Math"/>
              </w:rPr>
              <m:t>N</m:t>
            </m:r>
          </m:e>
          <m:sub>
            <m:r>
              <w:rPr>
                <w:rFonts w:ascii="Cambria Math" w:hAnsi="Cambria Math"/>
              </w:rPr>
              <m:t>TA,offset</m:t>
            </m:r>
          </m:sub>
        </m:sSub>
      </m:oMath>
      <w:r w:rsidR="00AA25DF">
        <w:t xml:space="preserve"> the timing advance offset </w:t>
      </w:r>
      <w:r w:rsidR="00CD1F22">
        <w:t>(in</w:t>
      </w:r>
      <w:r w:rsidR="00ED7642">
        <w:t xml:space="preserve"> number of</w:t>
      </w:r>
      <w:r w:rsidR="00CD1F22">
        <w:t xml:space="preserve">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CD1F22">
        <w:t xml:space="preserve">) </w:t>
      </w:r>
      <w:r w:rsidR="00AA25DF">
        <w:t>defined</w:t>
      </w:r>
      <w:r w:rsidR="0028632D">
        <w:t xml:space="preserve"> </w:t>
      </w:r>
      <w:r w:rsidR="00AA25DF">
        <w:t xml:space="preserve">in </w:t>
      </w:r>
      <w:r w:rsidR="00C22F75">
        <w:t>[</w:t>
      </w:r>
      <w:r w:rsidR="00AA25DF" w:rsidRPr="00AA25DF">
        <w:t>TS 38.</w:t>
      </w:r>
      <w:r w:rsidR="00AA25DF">
        <w:t>133</w:t>
      </w:r>
      <w:r w:rsidR="00A82EF9">
        <w:t xml:space="preserve"> Table </w:t>
      </w:r>
      <w:r w:rsidR="00C22F75">
        <w:t>7.1.2-2]</w:t>
      </w:r>
      <w:r w:rsidR="0028632D">
        <w:t xml:space="preserve"> </w:t>
      </w:r>
      <w:r w:rsidR="00EE4204">
        <w:t>(</w:t>
      </w:r>
      <m:oMath>
        <m:r>
          <w:rPr>
            <w:rFonts w:ascii="Cambria Math" w:hAnsi="Cambria Math"/>
          </w:rPr>
          <m:t>≈</m:t>
        </m:r>
        <m:r>
          <m:rPr>
            <m:sty m:val="p"/>
          </m:rPr>
          <w:rPr>
            <w:rFonts w:ascii="Cambria Math" w:hAnsi="Cambria Math"/>
          </w:rPr>
          <m:t>13</m:t>
        </m:r>
        <m:r>
          <m:rPr>
            <m:sty m:val="p"/>
          </m:rPr>
          <w:rPr>
            <w:rFonts w:ascii="Cambria Math"/>
          </w:rPr>
          <m:t xml:space="preserve"> </m:t>
        </m:r>
        <m:r>
          <m:rPr>
            <m:sty m:val="p"/>
          </m:rPr>
          <w:rPr>
            <w:rFonts w:ascii="Cambria Math" w:hAnsi="Cambria Math"/>
          </w:rPr>
          <m:t>μs</m:t>
        </m:r>
      </m:oMath>
      <w:r w:rsidR="00EE4204">
        <w:t xml:space="preserve"> for FR1 </w:t>
      </w:r>
      <w:r w:rsidR="0028632D">
        <w:t>without LTE-NR coexistence</w:t>
      </w:r>
      <w:r w:rsidR="00EE4204">
        <w:t xml:space="preserve"> and </w:t>
      </w:r>
      <m:oMath>
        <m:r>
          <w:rPr>
            <w:rFonts w:ascii="Cambria Math" w:hAnsi="Cambria Math"/>
          </w:rPr>
          <m:t>≈</m:t>
        </m:r>
        <m:r>
          <m:rPr>
            <m:sty m:val="p"/>
          </m:rPr>
          <w:rPr>
            <w:rFonts w:ascii="Cambria Math" w:hAnsi="Cambria Math"/>
          </w:rPr>
          <m:t>7</m:t>
        </m:r>
        <m:r>
          <m:rPr>
            <m:sty m:val="p"/>
          </m:rPr>
          <w:rPr>
            <w:rFonts w:ascii="Cambria Math"/>
          </w:rPr>
          <m:t xml:space="preserve"> </m:t>
        </m:r>
        <m:r>
          <m:rPr>
            <m:sty m:val="p"/>
          </m:rPr>
          <w:rPr>
            <w:rFonts w:ascii="Cambria Math" w:hAnsi="Cambria Math"/>
          </w:rPr>
          <m:t>μs</m:t>
        </m:r>
      </m:oMath>
      <w:r w:rsidR="00EE4204">
        <w:t xml:space="preserve"> for FR2)</w:t>
      </w:r>
      <w:r w:rsidR="0028632D">
        <w:t xml:space="preserve">. </w:t>
      </w:r>
      <w:r w:rsidR="005920B8">
        <w:t xml:space="preserve">For small cells and/or low SCS, the timing misalignment </w:t>
      </w:r>
      <w:r w:rsidR="000B3ABE">
        <w:t xml:space="preserve">after compensation with </w:t>
      </w:r>
      <m:oMath>
        <m:sSub>
          <m:sSubPr>
            <m:ctrlPr>
              <w:rPr>
                <w:rFonts w:ascii="Cambria Math" w:hAnsi="Cambria Math"/>
                <w:i/>
              </w:rPr>
            </m:ctrlPr>
          </m:sSubPr>
          <m:e>
            <m:r>
              <w:rPr>
                <w:rFonts w:ascii="Cambria Math" w:hAnsi="Cambria Math"/>
              </w:rPr>
              <m:t>N</m:t>
            </m:r>
          </m:e>
          <m:sub>
            <m:r>
              <w:rPr>
                <w:rFonts w:ascii="Cambria Math" w:hAnsi="Cambria Math"/>
              </w:rPr>
              <m:t>TA,offset</m:t>
            </m:r>
          </m:sub>
        </m:sSub>
        <m:sSub>
          <m:sSubPr>
            <m:ctrlPr>
              <w:rPr>
                <w:rFonts w:ascii="Cambria Math" w:hAnsi="Cambria Math"/>
                <w:i/>
              </w:rPr>
            </m:ctrlPr>
          </m:sSubPr>
          <m:e>
            <m:r>
              <w:rPr>
                <w:rFonts w:ascii="Cambria Math" w:hAnsi="Cambria Math"/>
              </w:rPr>
              <m:t>T</m:t>
            </m:r>
          </m:e>
          <m:sub>
            <m:r>
              <w:rPr>
                <w:rFonts w:ascii="Cambria Math" w:hAnsi="Cambria Math"/>
              </w:rPr>
              <m:t>c</m:t>
            </m:r>
          </m:sub>
        </m:sSub>
      </m:oMath>
      <w:r w:rsidR="000B3ABE">
        <w:t xml:space="preserve"> </w:t>
      </w:r>
      <w:r w:rsidR="005920B8">
        <w:t xml:space="preserve">is </w:t>
      </w:r>
      <w:r w:rsidR="00D7728C">
        <w:t>at most a</w:t>
      </w:r>
      <w:r w:rsidR="000B3ABE">
        <w:t xml:space="preserve"> </w:t>
      </w:r>
      <w:r w:rsidR="005920B8">
        <w:t>few percent</w:t>
      </w:r>
      <w:r w:rsidR="009B39BF">
        <w:t xml:space="preserve"> (see </w:t>
      </w:r>
      <w:r w:rsidR="009B39BF">
        <w:fldChar w:fldCharType="begin"/>
      </w:r>
      <w:r w:rsidR="009B39BF">
        <w:instrText xml:space="preserve"> REF _Ref446659 \h </w:instrText>
      </w:r>
      <w:r w:rsidR="009B39BF">
        <w:fldChar w:fldCharType="separate"/>
      </w:r>
      <w:r w:rsidR="00A75490">
        <w:t xml:space="preserve">Table </w:t>
      </w:r>
      <w:r w:rsidR="00A75490">
        <w:rPr>
          <w:noProof/>
        </w:rPr>
        <w:t>1</w:t>
      </w:r>
      <w:r w:rsidR="009B39BF">
        <w:fldChar w:fldCharType="end"/>
      </w:r>
      <w:r w:rsidR="009B39BF">
        <w:t>)</w:t>
      </w:r>
      <w:r w:rsidR="005920B8">
        <w:t>, which will have little effect on the measurement</w:t>
      </w:r>
      <w:r w:rsidR="00E3782E">
        <w:t xml:space="preserve"> since it is within the cyclic prefix (CP) (</w:t>
      </w:r>
      <w:r w:rsidR="00DA7168">
        <w:t>the</w:t>
      </w:r>
      <w:r w:rsidR="00E3782E">
        <w:t xml:space="preserve"> CP length is ~6% of the symbol)</w:t>
      </w:r>
      <w:r w:rsidR="005920B8">
        <w:t xml:space="preserve">. </w:t>
      </w:r>
    </w:p>
    <w:p w14:paraId="0A4751FC" w14:textId="12ACC1F4" w:rsidR="004410C7" w:rsidRDefault="005920B8" w:rsidP="008E3406">
      <w:r>
        <w:t xml:space="preserve">For larger cells and </w:t>
      </w:r>
      <w:r w:rsidR="00B050AB">
        <w:t>large</w:t>
      </w:r>
      <w:r>
        <w:t xml:space="preserve"> </w:t>
      </w:r>
      <w:r w:rsidR="00EC2C73">
        <w:t>SCS</w:t>
      </w:r>
      <w:r>
        <w:t>, the impact is however significant</w:t>
      </w:r>
      <w:r w:rsidR="004410C7">
        <w:t xml:space="preserve"> and additional offset may need to be applied.</w:t>
      </w:r>
      <w:r w:rsidR="00910EC6">
        <w:t xml:space="preserve"> </w:t>
      </w:r>
      <w:r w:rsidR="00627E93">
        <w:t>A</w:t>
      </w:r>
      <w:r w:rsidR="004410C7">
        <w:t xml:space="preserve">s dynamic TDD operation </w:t>
      </w:r>
      <w:r w:rsidR="005547BF">
        <w:t xml:space="preserve">may </w:t>
      </w:r>
      <w:r w:rsidR="004410C7">
        <w:t xml:space="preserve">only </w:t>
      </w:r>
      <w:r w:rsidR="005F30F6">
        <w:t xml:space="preserve">be </w:t>
      </w:r>
      <w:r w:rsidR="004410C7">
        <w:t xml:space="preserve">feasible in small cell scenarios, using a fixed SRS measurement offset of </w:t>
      </w:r>
      <m:oMath>
        <m:sSub>
          <m:sSubPr>
            <m:ctrlPr>
              <w:rPr>
                <w:rFonts w:ascii="Cambria Math" w:hAnsi="Cambria Math"/>
                <w:i/>
              </w:rPr>
            </m:ctrlPr>
          </m:sSubPr>
          <m:e>
            <m:r>
              <w:rPr>
                <w:rFonts w:ascii="Cambria Math" w:hAnsi="Cambria Math"/>
              </w:rPr>
              <m:t>N</m:t>
            </m:r>
          </m:e>
          <m:sub>
            <m:r>
              <w:rPr>
                <w:rFonts w:ascii="Cambria Math" w:hAnsi="Cambria Math"/>
              </w:rPr>
              <m:t>TA,offset</m:t>
            </m:r>
          </m:sub>
        </m:sSub>
        <m:sSub>
          <m:sSubPr>
            <m:ctrlPr>
              <w:rPr>
                <w:rFonts w:ascii="Cambria Math" w:hAnsi="Cambria Math"/>
                <w:i/>
              </w:rPr>
            </m:ctrlPr>
          </m:sSubPr>
          <m:e>
            <m:r>
              <w:rPr>
                <w:rFonts w:ascii="Cambria Math" w:hAnsi="Cambria Math"/>
              </w:rPr>
              <m:t>T</m:t>
            </m:r>
          </m:e>
          <m:sub>
            <m:r>
              <w:rPr>
                <w:rFonts w:ascii="Cambria Math" w:hAnsi="Cambria Math"/>
              </w:rPr>
              <m:t>c</m:t>
            </m:r>
          </m:sub>
        </m:sSub>
      </m:oMath>
      <w:r w:rsidR="004410C7">
        <w:t xml:space="preserve"> is likely sufficient.</w:t>
      </w:r>
    </w:p>
    <w:p w14:paraId="5FDDE443" w14:textId="4939DC68" w:rsidR="008A7BC4" w:rsidRDefault="008A7BC4" w:rsidP="00FB52E2">
      <w:pPr>
        <w:pStyle w:val="Observation"/>
      </w:pPr>
      <w:bookmarkStart w:id="3" w:name="_Toc1144425"/>
      <w:r>
        <w:t>For the cell sizes where dynamic TDD is relevant, a fixed timing offset for CLI-SRS measurement is sufficient</w:t>
      </w:r>
      <w:bookmarkEnd w:id="3"/>
    </w:p>
    <w:p w14:paraId="7283FFD5" w14:textId="026E4833" w:rsidR="008F4BB5" w:rsidRDefault="004410C7" w:rsidP="008F4BB5">
      <w:pPr>
        <w:pStyle w:val="Proposal"/>
      </w:pPr>
      <w:bookmarkStart w:id="4" w:name="_Toc857710"/>
      <w:bookmarkStart w:id="5" w:name="_Toc1144429"/>
      <w:bookmarkEnd w:id="4"/>
      <w:r>
        <w:t xml:space="preserve">For SRS-RSRP measurement, the </w:t>
      </w:r>
      <w:r w:rsidR="008A7BC4">
        <w:t>measurement</w:t>
      </w:r>
      <w:r>
        <w:t xml:space="preserve"> timing is offset with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TA,offset</m:t>
            </m:r>
          </m:sub>
        </m:sSub>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m:t>
            </m:r>
          </m:sub>
        </m:sSub>
      </m:oMath>
      <w:r>
        <w:t xml:space="preserve"> relative </w:t>
      </w:r>
      <w:r w:rsidR="0054545E">
        <w:t>to its own</w:t>
      </w:r>
      <w:r>
        <w:t xml:space="preserve"> DL </w:t>
      </w:r>
      <w:r w:rsidR="00C446D2">
        <w:t>reception</w:t>
      </w:r>
      <w:r w:rsidR="00F9782F">
        <w:t>s</w:t>
      </w:r>
      <w:r w:rsidR="0054545E">
        <w:t xml:space="preserve"> </w:t>
      </w:r>
      <w:r>
        <w:t>timing</w:t>
      </w:r>
      <w:r w:rsidR="0054545E">
        <w:t>.</w:t>
      </w:r>
      <w:bookmarkEnd w:id="5"/>
    </w:p>
    <w:p w14:paraId="210A6A61" w14:textId="77777777" w:rsidR="009D13EF" w:rsidRDefault="009D13EF" w:rsidP="003C59FC"/>
    <w:p w14:paraId="22B9792D" w14:textId="4BA55D56" w:rsidR="00DA1278" w:rsidRDefault="00A75490" w:rsidP="009D13EF">
      <w:pPr>
        <w:pStyle w:val="Caption"/>
      </w:pPr>
      <w:r>
        <w:rPr>
          <w:noProof/>
        </w:rPr>
        <w:lastRenderedPageBreak/>
        <w:drawing>
          <wp:inline distT="0" distB="0" distL="0" distR="0" wp14:anchorId="084ABDAC" wp14:editId="569BFAD2">
            <wp:extent cx="5941060" cy="429133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1060" cy="4291330"/>
                    </a:xfrm>
                    <a:prstGeom prst="rect">
                      <a:avLst/>
                    </a:prstGeom>
                    <a:noFill/>
                    <a:ln>
                      <a:noFill/>
                    </a:ln>
                  </pic:spPr>
                </pic:pic>
              </a:graphicData>
            </a:graphic>
          </wp:inline>
        </w:drawing>
      </w:r>
      <w:bookmarkStart w:id="6" w:name="_Ref443917"/>
      <w:r w:rsidR="00DA1278">
        <w:t xml:space="preserve">Figure </w:t>
      </w:r>
      <w:r w:rsidR="00DA1278">
        <w:fldChar w:fldCharType="begin"/>
      </w:r>
      <w:r w:rsidR="00DA1278">
        <w:instrText xml:space="preserve"> SEQ Figure \* ARABIC </w:instrText>
      </w:r>
      <w:r w:rsidR="00DA1278">
        <w:fldChar w:fldCharType="separate"/>
      </w:r>
      <w:r>
        <w:rPr>
          <w:noProof/>
        </w:rPr>
        <w:t>2</w:t>
      </w:r>
      <w:r w:rsidR="00DA1278">
        <w:fldChar w:fldCharType="end"/>
      </w:r>
      <w:bookmarkEnd w:id="6"/>
      <w:r w:rsidR="00DA1278">
        <w:t xml:space="preserve">. </w:t>
      </w:r>
      <w:r w:rsidR="007061A2">
        <w:t>Example of d</w:t>
      </w:r>
      <w:r w:rsidR="001D752F">
        <w:t>eployment</w:t>
      </w:r>
      <w:r w:rsidR="007061A2">
        <w:t>s</w:t>
      </w:r>
      <w:r w:rsidR="001D752F">
        <w:t xml:space="preserve"> suffering from CLI</w:t>
      </w:r>
    </w:p>
    <w:p w14:paraId="3608D0E8" w14:textId="23865ED6" w:rsidR="001E67BC" w:rsidRDefault="00A75490" w:rsidP="001E67BC">
      <w:pPr>
        <w:keepNext/>
        <w:jc w:val="center"/>
      </w:pPr>
      <w:r>
        <w:rPr>
          <w:noProof/>
        </w:rPr>
        <w:lastRenderedPageBreak/>
        <w:drawing>
          <wp:inline distT="0" distB="0" distL="0" distR="0" wp14:anchorId="189D1227" wp14:editId="3CE7F484">
            <wp:extent cx="3652255" cy="2075961"/>
            <wp:effectExtent l="0" t="0" r="571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82227" cy="2092997"/>
                    </a:xfrm>
                    <a:prstGeom prst="rect">
                      <a:avLst/>
                    </a:prstGeom>
                    <a:noFill/>
                    <a:ln>
                      <a:noFill/>
                    </a:ln>
                  </pic:spPr>
                </pic:pic>
              </a:graphicData>
            </a:graphic>
          </wp:inline>
        </w:drawing>
      </w:r>
    </w:p>
    <w:p w14:paraId="011AB77F" w14:textId="480C1667" w:rsidR="001E67BC" w:rsidRDefault="001E67BC" w:rsidP="009D13EF">
      <w:pPr>
        <w:pStyle w:val="Caption"/>
      </w:pPr>
      <w:bookmarkStart w:id="7" w:name="_Ref445177"/>
      <w:r>
        <w:t xml:space="preserve">Figure </w:t>
      </w:r>
      <w:r>
        <w:fldChar w:fldCharType="begin"/>
      </w:r>
      <w:r>
        <w:instrText xml:space="preserve"> SEQ Figure \* ARABIC </w:instrText>
      </w:r>
      <w:r>
        <w:fldChar w:fldCharType="separate"/>
      </w:r>
      <w:r w:rsidR="00A75490">
        <w:rPr>
          <w:noProof/>
        </w:rPr>
        <w:t>3</w:t>
      </w:r>
      <w:r>
        <w:fldChar w:fldCharType="end"/>
      </w:r>
      <w:bookmarkEnd w:id="7"/>
      <w:r>
        <w:t>. Transmission and reception timing for BS</w:t>
      </w:r>
      <w:r w:rsidR="003D6300">
        <w:t>s</w:t>
      </w:r>
      <w:r>
        <w:t xml:space="preserve"> and UEs</w:t>
      </w:r>
      <w:r w:rsidR="002C74EB">
        <w:t>.</w:t>
      </w:r>
    </w:p>
    <w:p w14:paraId="0F7C47E0" w14:textId="660DB024" w:rsidR="005A42BB" w:rsidRDefault="005A42BB" w:rsidP="005A42BB">
      <w:pPr>
        <w:pStyle w:val="Caption"/>
        <w:keepNext/>
      </w:pPr>
      <w:bookmarkStart w:id="8" w:name="_Ref446659"/>
      <w:r>
        <w:t xml:space="preserve">Table </w:t>
      </w:r>
      <w:r>
        <w:fldChar w:fldCharType="begin"/>
      </w:r>
      <w:r>
        <w:instrText xml:space="preserve"> SEQ Table \* ARABIC </w:instrText>
      </w:r>
      <w:r>
        <w:fldChar w:fldCharType="separate"/>
      </w:r>
      <w:r w:rsidR="00A75490">
        <w:rPr>
          <w:noProof/>
        </w:rPr>
        <w:t>1</w:t>
      </w:r>
      <w:r>
        <w:fldChar w:fldCharType="end"/>
      </w:r>
      <w:bookmarkEnd w:id="8"/>
      <w:r>
        <w:t xml:space="preserve">. Timing misalignment as a percentage of </w:t>
      </w:r>
      <w:r w:rsidR="000A506D">
        <w:t xml:space="preserve">the </w:t>
      </w:r>
      <w:r>
        <w:t>symbol duration</w:t>
      </w:r>
      <w:r w:rsidR="00A511D0">
        <w:t xml:space="preserve">. The value </w:t>
      </w:r>
      <m:oMath>
        <m:sSub>
          <m:sSubPr>
            <m:ctrlPr>
              <w:rPr>
                <w:rFonts w:ascii="Cambria Math" w:hAnsi="Cambria Math"/>
                <w:i/>
              </w:rPr>
            </m:ctrlPr>
          </m:sSubPr>
          <m:e>
            <m:r>
              <m:rPr>
                <m:sty m:val="bi"/>
              </m:rPr>
              <w:rPr>
                <w:rFonts w:ascii="Cambria Math" w:hAnsi="Cambria Math"/>
              </w:rPr>
              <m:t>ϵ</m:t>
            </m:r>
          </m:e>
          <m:sub>
            <m:sSub>
              <m:sSubPr>
                <m:ctrlPr>
                  <w:rPr>
                    <w:rFonts w:ascii="Cambria Math" w:hAnsi="Cambria Math"/>
                    <w:i/>
                  </w:rPr>
                </m:ctrlPr>
              </m:sSubPr>
              <m:e>
                <m:r>
                  <m:rPr>
                    <m:sty m:val="bi"/>
                  </m:rPr>
                  <w:rPr>
                    <w:rFonts w:ascii="Cambria Math" w:hAnsi="Cambria Math"/>
                  </w:rPr>
                  <m:t>1</m:t>
                </m:r>
              </m:e>
              <m:sub>
                <m:r>
                  <m:rPr>
                    <m:sty m:val="bi"/>
                  </m:rPr>
                  <w:rPr>
                    <w:rFonts w:ascii="Cambria Math" w:hAnsi="Cambria Math"/>
                  </w:rPr>
                  <m:t>%</m:t>
                </m:r>
              </m:sub>
            </m:sSub>
          </m:sub>
        </m:sSub>
      </m:oMath>
      <w:r w:rsidR="00A511D0">
        <w:t xml:space="preserve"> refers to timing error without measurement </w:t>
      </w:r>
      <w:r w:rsidR="00EE08AE">
        <w:t xml:space="preserve">timing </w:t>
      </w:r>
      <w:r w:rsidR="00A511D0">
        <w:t xml:space="preserve">adjustment and </w:t>
      </w:r>
      <m:oMath>
        <m:sSub>
          <m:sSubPr>
            <m:ctrlPr>
              <w:rPr>
                <w:rFonts w:ascii="Cambria Math" w:hAnsi="Cambria Math"/>
                <w:i/>
              </w:rPr>
            </m:ctrlPr>
          </m:sSubPr>
          <m:e>
            <m:r>
              <m:rPr>
                <m:sty m:val="bi"/>
              </m:rPr>
              <w:rPr>
                <w:rFonts w:ascii="Cambria Math" w:hAnsi="Cambria Math"/>
              </w:rPr>
              <m:t>ϵ</m:t>
            </m:r>
          </m:e>
          <m:sub>
            <m:sSub>
              <m:sSubPr>
                <m:ctrlPr>
                  <w:rPr>
                    <w:rFonts w:ascii="Cambria Math" w:hAnsi="Cambria Math"/>
                    <w:i/>
                  </w:rPr>
                </m:ctrlPr>
              </m:sSubPr>
              <m:e>
                <m:r>
                  <m:rPr>
                    <m:sty m:val="bi"/>
                  </m:rPr>
                  <w:rPr>
                    <w:rFonts w:ascii="Cambria Math" w:hAnsi="Cambria Math"/>
                  </w:rPr>
                  <m:t>2</m:t>
                </m:r>
              </m:e>
              <m:sub>
                <m:r>
                  <m:rPr>
                    <m:sty m:val="bi"/>
                  </m:rPr>
                  <w:rPr>
                    <w:rFonts w:ascii="Cambria Math" w:hAnsi="Cambria Math"/>
                  </w:rPr>
                  <m:t>%</m:t>
                </m:r>
              </m:sub>
            </m:sSub>
          </m:sub>
        </m:sSub>
      </m:oMath>
      <w:r w:rsidR="00A511D0">
        <w:t xml:space="preserve"> refers to the timing error with the proposed adjustment </w:t>
      </w:r>
      <w:r w:rsidR="00EE08AE">
        <w:t xml:space="preserve">of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TA,offset</m:t>
            </m:r>
          </m:sub>
        </m:sSub>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m:t>
            </m:r>
          </m:sub>
        </m:sSub>
      </m:oMath>
      <w:r w:rsidR="002C74EB">
        <w:t>.</w:t>
      </w:r>
    </w:p>
    <w:tbl>
      <w:tblPr>
        <w:tblStyle w:val="TableGrid"/>
        <w:tblW w:w="0" w:type="auto"/>
        <w:jc w:val="center"/>
        <w:tblLook w:val="04A0" w:firstRow="1" w:lastRow="0" w:firstColumn="1" w:lastColumn="0" w:noHBand="0" w:noVBand="1"/>
      </w:tblPr>
      <w:tblGrid>
        <w:gridCol w:w="2689"/>
        <w:gridCol w:w="645"/>
        <w:gridCol w:w="1464"/>
        <w:gridCol w:w="1517"/>
        <w:gridCol w:w="1517"/>
        <w:gridCol w:w="1518"/>
      </w:tblGrid>
      <w:tr w:rsidR="00A511D0" w14:paraId="72A1D402" w14:textId="77777777" w:rsidTr="00A201AC">
        <w:trPr>
          <w:jc w:val="center"/>
        </w:trPr>
        <w:tc>
          <w:tcPr>
            <w:tcW w:w="3334" w:type="dxa"/>
            <w:gridSpan w:val="2"/>
            <w:tcBorders>
              <w:tl2br w:val="single" w:sz="4" w:space="0" w:color="auto"/>
            </w:tcBorders>
          </w:tcPr>
          <w:p w14:paraId="408B5235" w14:textId="77777777" w:rsidR="00A511D0" w:rsidRDefault="00A511D0" w:rsidP="005A42BB">
            <w:pPr>
              <w:spacing w:after="87"/>
              <w:jc w:val="right"/>
            </w:pPr>
            <w:r>
              <w:t>SCS</w:t>
            </w:r>
          </w:p>
          <w:p w14:paraId="4D69FDB4" w14:textId="0A060EB1" w:rsidR="00A511D0" w:rsidRDefault="004C6795" w:rsidP="00A511D0">
            <w:pPr>
              <w:spacing w:after="87"/>
              <w:jc w:val="left"/>
            </w:pPr>
            <w:r>
              <w:t>Average c</w:t>
            </w:r>
            <w:r w:rsidR="00A511D0">
              <w:t xml:space="preserve">ell </w:t>
            </w:r>
            <w:r w:rsidR="00CA521F">
              <w:t xml:space="preserve">radius </w:t>
            </w:r>
            <m:oMath>
              <m:r>
                <w:rPr>
                  <w:rFonts w:ascii="Cambria Math" w:hAnsi="Cambria Math"/>
                </w:rPr>
                <m:t>d</m:t>
              </m:r>
            </m:oMath>
          </w:p>
        </w:tc>
        <w:tc>
          <w:tcPr>
            <w:tcW w:w="1464" w:type="dxa"/>
          </w:tcPr>
          <w:p w14:paraId="0B3507D3" w14:textId="6557C210" w:rsidR="00A511D0" w:rsidRDefault="00A511D0" w:rsidP="00A201AC">
            <w:pPr>
              <w:spacing w:after="87"/>
              <w:jc w:val="center"/>
            </w:pPr>
            <w:r>
              <w:t>15 kHz</w:t>
            </w:r>
            <w:r w:rsidR="00EE4204">
              <w:t xml:space="preserve"> (FR1)</w:t>
            </w:r>
          </w:p>
        </w:tc>
        <w:tc>
          <w:tcPr>
            <w:tcW w:w="1517" w:type="dxa"/>
          </w:tcPr>
          <w:p w14:paraId="0C79D0FE" w14:textId="1CB685E2" w:rsidR="00A511D0" w:rsidRDefault="00A511D0" w:rsidP="00A201AC">
            <w:pPr>
              <w:spacing w:after="87"/>
              <w:jc w:val="center"/>
            </w:pPr>
            <w:r>
              <w:t>30 kHz</w:t>
            </w:r>
            <w:r w:rsidR="00EE4204">
              <w:t xml:space="preserve"> (FR1)</w:t>
            </w:r>
          </w:p>
        </w:tc>
        <w:tc>
          <w:tcPr>
            <w:tcW w:w="1517" w:type="dxa"/>
          </w:tcPr>
          <w:p w14:paraId="3853619D" w14:textId="4AA7431F" w:rsidR="00A511D0" w:rsidRDefault="00A511D0" w:rsidP="00A201AC">
            <w:pPr>
              <w:spacing w:after="87"/>
              <w:jc w:val="center"/>
            </w:pPr>
            <w:r>
              <w:t>60 kHz</w:t>
            </w:r>
            <w:r w:rsidR="00EE4204">
              <w:t xml:space="preserve"> (FR2)</w:t>
            </w:r>
          </w:p>
        </w:tc>
        <w:tc>
          <w:tcPr>
            <w:tcW w:w="1518" w:type="dxa"/>
          </w:tcPr>
          <w:p w14:paraId="71D4867E" w14:textId="4B075558" w:rsidR="00A511D0" w:rsidRDefault="00A511D0" w:rsidP="00A201AC">
            <w:pPr>
              <w:spacing w:after="87"/>
              <w:jc w:val="center"/>
            </w:pPr>
            <w:r>
              <w:t>120 kHz</w:t>
            </w:r>
            <w:r w:rsidR="00EE4204">
              <w:t xml:space="preserve"> (FR2)</w:t>
            </w:r>
          </w:p>
        </w:tc>
      </w:tr>
      <w:tr w:rsidR="00A511D0" w14:paraId="010ED02A" w14:textId="77777777" w:rsidTr="00097F17">
        <w:trPr>
          <w:jc w:val="center"/>
        </w:trPr>
        <w:tc>
          <w:tcPr>
            <w:tcW w:w="2689" w:type="dxa"/>
          </w:tcPr>
          <w:p w14:paraId="454F5174" w14:textId="7D05D14D" w:rsidR="00A511D0" w:rsidRDefault="00A511D0" w:rsidP="00A201AC">
            <w:pPr>
              <w:spacing w:after="87"/>
              <w:jc w:val="left"/>
            </w:pPr>
            <w:r>
              <w:t>10 m</w:t>
            </w:r>
          </w:p>
        </w:tc>
        <w:tc>
          <w:tcPr>
            <w:tcW w:w="645" w:type="dxa"/>
          </w:tcPr>
          <w:p w14:paraId="5D52A792" w14:textId="77777777" w:rsidR="00A511D0" w:rsidRPr="005F515D" w:rsidRDefault="005837DC" w:rsidP="00A511D0">
            <w:pPr>
              <w:spacing w:after="87"/>
              <w:jc w:val="center"/>
            </w:pPr>
            <m:oMathPara>
              <m:oMath>
                <m:sSub>
                  <m:sSubPr>
                    <m:ctrlPr>
                      <w:rPr>
                        <w:rFonts w:ascii="Cambria Math" w:hAnsi="Cambria Math"/>
                        <w:i/>
                      </w:rPr>
                    </m:ctrlPr>
                  </m:sSubPr>
                  <m:e>
                    <m:r>
                      <w:rPr>
                        <w:rFonts w:ascii="Cambria Math" w:hAnsi="Cambria Math"/>
                      </w:rPr>
                      <m:t>ϵ</m:t>
                    </m:r>
                  </m:e>
                  <m:sub>
                    <m:sSub>
                      <m:sSubPr>
                        <m:ctrlPr>
                          <w:rPr>
                            <w:rFonts w:ascii="Cambria Math" w:hAnsi="Cambria Math"/>
                            <w:i/>
                          </w:rPr>
                        </m:ctrlPr>
                      </m:sSubPr>
                      <m:e>
                        <m:r>
                          <w:rPr>
                            <w:rFonts w:ascii="Cambria Math" w:hAnsi="Cambria Math"/>
                          </w:rPr>
                          <m:t>1</m:t>
                        </m:r>
                      </m:e>
                      <m:sub>
                        <m:r>
                          <w:rPr>
                            <w:rFonts w:ascii="Cambria Math" w:hAnsi="Cambria Math"/>
                          </w:rPr>
                          <m:t>%</m:t>
                        </m:r>
                      </m:sub>
                    </m:sSub>
                  </m:sub>
                </m:sSub>
              </m:oMath>
            </m:oMathPara>
          </w:p>
          <w:p w14:paraId="2BCC0186" w14:textId="46F37DEE" w:rsidR="00A511D0" w:rsidRPr="00A511D0" w:rsidRDefault="005837DC" w:rsidP="00A511D0">
            <w:pPr>
              <w:spacing w:after="87"/>
              <w:jc w:val="center"/>
            </w:pPr>
            <m:oMathPara>
              <m:oMath>
                <m:sSub>
                  <m:sSubPr>
                    <m:ctrlPr>
                      <w:rPr>
                        <w:rFonts w:ascii="Cambria Math" w:hAnsi="Cambria Math"/>
                        <w:i/>
                      </w:rPr>
                    </m:ctrlPr>
                  </m:sSubPr>
                  <m:e>
                    <m:r>
                      <w:rPr>
                        <w:rFonts w:ascii="Cambria Math" w:hAnsi="Cambria Math"/>
                      </w:rPr>
                      <m:t>ϵ</m:t>
                    </m:r>
                  </m:e>
                  <m:sub>
                    <m:sSub>
                      <m:sSubPr>
                        <m:ctrlPr>
                          <w:rPr>
                            <w:rFonts w:ascii="Cambria Math" w:hAnsi="Cambria Math"/>
                            <w:i/>
                          </w:rPr>
                        </m:ctrlPr>
                      </m:sSubPr>
                      <m:e>
                        <m:r>
                          <w:rPr>
                            <w:rFonts w:ascii="Cambria Math" w:hAnsi="Cambria Math"/>
                          </w:rPr>
                          <m:t>2</m:t>
                        </m:r>
                      </m:e>
                      <m:sub>
                        <m:r>
                          <w:rPr>
                            <w:rFonts w:ascii="Cambria Math" w:hAnsi="Cambria Math"/>
                          </w:rPr>
                          <m:t>%</m:t>
                        </m:r>
                      </m:sub>
                    </m:sSub>
                  </m:sub>
                </m:sSub>
              </m:oMath>
            </m:oMathPara>
          </w:p>
        </w:tc>
        <w:tc>
          <w:tcPr>
            <w:tcW w:w="1464" w:type="dxa"/>
          </w:tcPr>
          <w:p w14:paraId="788DA632" w14:textId="166FBA84" w:rsidR="00A511D0" w:rsidRDefault="008D3933" w:rsidP="0025636D">
            <w:pPr>
              <w:spacing w:after="87"/>
              <w:jc w:val="center"/>
            </w:pPr>
            <w:r>
              <w:t>1</w:t>
            </w:r>
            <w:r w:rsidR="00A511D0">
              <w:t>8.</w:t>
            </w:r>
            <w:r>
              <w:t>3</w:t>
            </w:r>
            <w:r w:rsidR="00A511D0">
              <w:t xml:space="preserve"> (%)</w:t>
            </w:r>
          </w:p>
          <w:p w14:paraId="0EF4B6C5" w14:textId="094DBED0" w:rsidR="00A511D0" w:rsidRDefault="00A511D0" w:rsidP="00A511D0">
            <w:pPr>
              <w:spacing w:after="87"/>
              <w:jc w:val="center"/>
            </w:pPr>
            <w:r>
              <w:t>0.09 (%)</w:t>
            </w:r>
          </w:p>
        </w:tc>
        <w:tc>
          <w:tcPr>
            <w:tcW w:w="1517" w:type="dxa"/>
          </w:tcPr>
          <w:p w14:paraId="320BE255" w14:textId="2A422F19" w:rsidR="00A511D0" w:rsidRDefault="0046024B" w:rsidP="000A506D">
            <w:pPr>
              <w:spacing w:after="87"/>
              <w:jc w:val="center"/>
            </w:pPr>
            <w:r>
              <w:t>36</w:t>
            </w:r>
            <w:r w:rsidR="00A511D0">
              <w:t>.</w:t>
            </w:r>
            <w:r>
              <w:t>6</w:t>
            </w:r>
          </w:p>
          <w:p w14:paraId="5D145F0F" w14:textId="34138ABF" w:rsidR="009D7802" w:rsidRDefault="009D7802" w:rsidP="009D7802">
            <w:pPr>
              <w:spacing w:after="87"/>
              <w:jc w:val="center"/>
            </w:pPr>
            <w:r>
              <w:t>0.19</w:t>
            </w:r>
          </w:p>
        </w:tc>
        <w:tc>
          <w:tcPr>
            <w:tcW w:w="1517" w:type="dxa"/>
          </w:tcPr>
          <w:p w14:paraId="1FA2CEE9" w14:textId="7F3573A6" w:rsidR="009D7802" w:rsidRDefault="006C524B" w:rsidP="000A506D">
            <w:pPr>
              <w:spacing w:after="87"/>
              <w:jc w:val="center"/>
            </w:pPr>
            <w:r>
              <w:t>39</w:t>
            </w:r>
            <w:r w:rsidR="00EE4204">
              <w:t>.</w:t>
            </w:r>
            <w:r>
              <w:t>6</w:t>
            </w:r>
          </w:p>
          <w:p w14:paraId="5F262A01" w14:textId="66D0DD95" w:rsidR="00A511D0" w:rsidRPr="0025636D" w:rsidRDefault="00A511D0" w:rsidP="009D7802">
            <w:pPr>
              <w:spacing w:after="87"/>
              <w:jc w:val="center"/>
            </w:pPr>
            <w:r>
              <w:t>0.37</w:t>
            </w:r>
          </w:p>
        </w:tc>
        <w:tc>
          <w:tcPr>
            <w:tcW w:w="1518" w:type="dxa"/>
          </w:tcPr>
          <w:p w14:paraId="674335EC" w14:textId="40A2A4A9" w:rsidR="00DC2AE4" w:rsidRDefault="002F48AD" w:rsidP="009D7802">
            <w:pPr>
              <w:spacing w:after="87"/>
              <w:jc w:val="center"/>
            </w:pPr>
            <w:r>
              <w:t>79.2</w:t>
            </w:r>
          </w:p>
          <w:p w14:paraId="2858B983" w14:textId="14D26A43" w:rsidR="00A511D0" w:rsidRPr="0025636D" w:rsidRDefault="00A511D0" w:rsidP="009D7802">
            <w:pPr>
              <w:spacing w:after="87"/>
              <w:jc w:val="center"/>
            </w:pPr>
            <w:r>
              <w:t>0.75</w:t>
            </w:r>
          </w:p>
        </w:tc>
      </w:tr>
      <w:tr w:rsidR="00A511D0" w14:paraId="005664EA" w14:textId="77777777" w:rsidTr="00097F17">
        <w:trPr>
          <w:jc w:val="center"/>
        </w:trPr>
        <w:tc>
          <w:tcPr>
            <w:tcW w:w="2689" w:type="dxa"/>
          </w:tcPr>
          <w:p w14:paraId="3054952E" w14:textId="505F00E3" w:rsidR="00A511D0" w:rsidRDefault="00A511D0" w:rsidP="00A201AC">
            <w:pPr>
              <w:spacing w:after="87"/>
              <w:jc w:val="left"/>
            </w:pPr>
            <w:r>
              <w:t>50 m</w:t>
            </w:r>
          </w:p>
        </w:tc>
        <w:tc>
          <w:tcPr>
            <w:tcW w:w="645" w:type="dxa"/>
          </w:tcPr>
          <w:p w14:paraId="01D6852F" w14:textId="77777777" w:rsidR="00A511D0" w:rsidRPr="005F515D" w:rsidRDefault="005837DC" w:rsidP="00A511D0">
            <w:pPr>
              <w:spacing w:after="87"/>
              <w:jc w:val="center"/>
            </w:pPr>
            <m:oMathPara>
              <m:oMath>
                <m:sSub>
                  <m:sSubPr>
                    <m:ctrlPr>
                      <w:rPr>
                        <w:rFonts w:ascii="Cambria Math" w:hAnsi="Cambria Math"/>
                        <w:i/>
                      </w:rPr>
                    </m:ctrlPr>
                  </m:sSubPr>
                  <m:e>
                    <m:r>
                      <w:rPr>
                        <w:rFonts w:ascii="Cambria Math" w:hAnsi="Cambria Math"/>
                      </w:rPr>
                      <m:t>ϵ</m:t>
                    </m:r>
                  </m:e>
                  <m:sub>
                    <m:sSub>
                      <m:sSubPr>
                        <m:ctrlPr>
                          <w:rPr>
                            <w:rFonts w:ascii="Cambria Math" w:hAnsi="Cambria Math"/>
                            <w:i/>
                          </w:rPr>
                        </m:ctrlPr>
                      </m:sSubPr>
                      <m:e>
                        <m:r>
                          <w:rPr>
                            <w:rFonts w:ascii="Cambria Math" w:hAnsi="Cambria Math"/>
                          </w:rPr>
                          <m:t>1</m:t>
                        </m:r>
                      </m:e>
                      <m:sub>
                        <m:r>
                          <w:rPr>
                            <w:rFonts w:ascii="Cambria Math" w:hAnsi="Cambria Math"/>
                          </w:rPr>
                          <m:t>%</m:t>
                        </m:r>
                      </m:sub>
                    </m:sSub>
                  </m:sub>
                </m:sSub>
              </m:oMath>
            </m:oMathPara>
          </w:p>
          <w:p w14:paraId="1455AD08" w14:textId="1DC0128D" w:rsidR="00A511D0" w:rsidRDefault="005837DC" w:rsidP="00A511D0">
            <w:pPr>
              <w:spacing w:after="87"/>
              <w:jc w:val="center"/>
            </w:pPr>
            <m:oMathPara>
              <m:oMath>
                <m:sSub>
                  <m:sSubPr>
                    <m:ctrlPr>
                      <w:rPr>
                        <w:rFonts w:ascii="Cambria Math" w:hAnsi="Cambria Math"/>
                        <w:i/>
                      </w:rPr>
                    </m:ctrlPr>
                  </m:sSubPr>
                  <m:e>
                    <m:r>
                      <w:rPr>
                        <w:rFonts w:ascii="Cambria Math" w:hAnsi="Cambria Math"/>
                      </w:rPr>
                      <m:t>ϵ</m:t>
                    </m:r>
                  </m:e>
                  <m:sub>
                    <m:sSub>
                      <m:sSubPr>
                        <m:ctrlPr>
                          <w:rPr>
                            <w:rFonts w:ascii="Cambria Math" w:hAnsi="Cambria Math"/>
                            <w:i/>
                          </w:rPr>
                        </m:ctrlPr>
                      </m:sSubPr>
                      <m:e>
                        <m:r>
                          <w:rPr>
                            <w:rFonts w:ascii="Cambria Math" w:hAnsi="Cambria Math"/>
                          </w:rPr>
                          <m:t>2</m:t>
                        </m:r>
                      </m:e>
                      <m:sub>
                        <m:r>
                          <w:rPr>
                            <w:rFonts w:ascii="Cambria Math" w:hAnsi="Cambria Math"/>
                          </w:rPr>
                          <m:t>%</m:t>
                        </m:r>
                      </m:sub>
                    </m:sSub>
                  </m:sub>
                </m:sSub>
              </m:oMath>
            </m:oMathPara>
          </w:p>
        </w:tc>
        <w:tc>
          <w:tcPr>
            <w:tcW w:w="1464" w:type="dxa"/>
          </w:tcPr>
          <w:p w14:paraId="7E14271B" w14:textId="50C233F8" w:rsidR="00A511D0" w:rsidRDefault="008D3933" w:rsidP="000A506D">
            <w:pPr>
              <w:spacing w:after="87"/>
              <w:jc w:val="center"/>
            </w:pPr>
            <w:r>
              <w:t>1</w:t>
            </w:r>
            <w:r w:rsidR="00A511D0">
              <w:t>8.</w:t>
            </w:r>
            <w:r>
              <w:t>7</w:t>
            </w:r>
          </w:p>
          <w:p w14:paraId="37EBC8D9" w14:textId="114B5FCD" w:rsidR="00740567" w:rsidRDefault="00740567" w:rsidP="00740567">
            <w:pPr>
              <w:spacing w:after="87"/>
              <w:jc w:val="center"/>
            </w:pPr>
            <w:r>
              <w:t>0.47</w:t>
            </w:r>
          </w:p>
        </w:tc>
        <w:tc>
          <w:tcPr>
            <w:tcW w:w="1517" w:type="dxa"/>
          </w:tcPr>
          <w:p w14:paraId="697DCE5F" w14:textId="3F30B603" w:rsidR="00A511D0" w:rsidRDefault="0046024B" w:rsidP="0025636D">
            <w:pPr>
              <w:spacing w:after="87"/>
              <w:jc w:val="center"/>
            </w:pPr>
            <w:r>
              <w:t>3</w:t>
            </w:r>
            <w:r w:rsidR="00A511D0">
              <w:t>7.</w:t>
            </w:r>
            <w:r>
              <w:t>3</w:t>
            </w:r>
          </w:p>
          <w:p w14:paraId="29D512AF" w14:textId="42ABDFA1" w:rsidR="00740567" w:rsidRPr="0025636D" w:rsidRDefault="00740567" w:rsidP="00740567">
            <w:pPr>
              <w:spacing w:after="87"/>
              <w:jc w:val="center"/>
            </w:pPr>
            <w:r>
              <w:t>0.93</w:t>
            </w:r>
          </w:p>
        </w:tc>
        <w:tc>
          <w:tcPr>
            <w:tcW w:w="1517" w:type="dxa"/>
          </w:tcPr>
          <w:p w14:paraId="1CE0715D" w14:textId="45AAC0FA" w:rsidR="00A511D0" w:rsidRDefault="006C524B" w:rsidP="0025636D">
            <w:pPr>
              <w:spacing w:after="87"/>
              <w:jc w:val="center"/>
            </w:pPr>
            <w:r>
              <w:t>41</w:t>
            </w:r>
            <w:r w:rsidR="00EE4204">
              <w:t>.</w:t>
            </w:r>
            <w:r>
              <w:t>1</w:t>
            </w:r>
          </w:p>
          <w:p w14:paraId="00C64A10" w14:textId="1AC07C4B" w:rsidR="00740567" w:rsidRPr="0025636D" w:rsidRDefault="00740567" w:rsidP="00740567">
            <w:pPr>
              <w:spacing w:after="87"/>
              <w:jc w:val="center"/>
            </w:pPr>
            <w:r>
              <w:t>1.87</w:t>
            </w:r>
          </w:p>
        </w:tc>
        <w:tc>
          <w:tcPr>
            <w:tcW w:w="1518" w:type="dxa"/>
          </w:tcPr>
          <w:p w14:paraId="655F5B67" w14:textId="42BA1E26" w:rsidR="00DC2AE4" w:rsidRDefault="00945386" w:rsidP="00740567">
            <w:pPr>
              <w:spacing w:after="87"/>
              <w:jc w:val="center"/>
            </w:pPr>
            <w:r>
              <w:t>82.2</w:t>
            </w:r>
          </w:p>
          <w:p w14:paraId="498CC238" w14:textId="187897AC" w:rsidR="00740567" w:rsidRDefault="00740567" w:rsidP="00740567">
            <w:pPr>
              <w:spacing w:after="87"/>
              <w:jc w:val="center"/>
            </w:pPr>
            <w:r>
              <w:t>3.73</w:t>
            </w:r>
          </w:p>
        </w:tc>
      </w:tr>
      <w:tr w:rsidR="00A511D0" w14:paraId="7790724F" w14:textId="77777777" w:rsidTr="00097F17">
        <w:trPr>
          <w:jc w:val="center"/>
        </w:trPr>
        <w:tc>
          <w:tcPr>
            <w:tcW w:w="2689" w:type="dxa"/>
          </w:tcPr>
          <w:p w14:paraId="0D6A2872" w14:textId="16CA9396" w:rsidR="00A511D0" w:rsidRDefault="00A511D0" w:rsidP="00DC2AE4">
            <w:pPr>
              <w:spacing w:after="87"/>
              <w:jc w:val="left"/>
            </w:pPr>
            <w:r>
              <w:t>250 m</w:t>
            </w:r>
          </w:p>
        </w:tc>
        <w:tc>
          <w:tcPr>
            <w:tcW w:w="645" w:type="dxa"/>
          </w:tcPr>
          <w:p w14:paraId="3C56F7F4" w14:textId="77777777" w:rsidR="00A511D0" w:rsidRPr="005F515D" w:rsidRDefault="005837DC" w:rsidP="00A511D0">
            <w:pPr>
              <w:spacing w:after="87"/>
              <w:jc w:val="center"/>
            </w:pPr>
            <m:oMathPara>
              <m:oMath>
                <m:sSub>
                  <m:sSubPr>
                    <m:ctrlPr>
                      <w:rPr>
                        <w:rFonts w:ascii="Cambria Math" w:hAnsi="Cambria Math"/>
                        <w:i/>
                      </w:rPr>
                    </m:ctrlPr>
                  </m:sSubPr>
                  <m:e>
                    <m:r>
                      <w:rPr>
                        <w:rFonts w:ascii="Cambria Math" w:hAnsi="Cambria Math"/>
                      </w:rPr>
                      <m:t>ϵ</m:t>
                    </m:r>
                  </m:e>
                  <m:sub>
                    <m:sSub>
                      <m:sSubPr>
                        <m:ctrlPr>
                          <w:rPr>
                            <w:rFonts w:ascii="Cambria Math" w:hAnsi="Cambria Math"/>
                            <w:i/>
                          </w:rPr>
                        </m:ctrlPr>
                      </m:sSubPr>
                      <m:e>
                        <m:r>
                          <w:rPr>
                            <w:rFonts w:ascii="Cambria Math" w:hAnsi="Cambria Math"/>
                          </w:rPr>
                          <m:t>1</m:t>
                        </m:r>
                      </m:e>
                      <m:sub>
                        <m:r>
                          <w:rPr>
                            <w:rFonts w:ascii="Cambria Math" w:hAnsi="Cambria Math"/>
                          </w:rPr>
                          <m:t>%</m:t>
                        </m:r>
                      </m:sub>
                    </m:sSub>
                  </m:sub>
                </m:sSub>
              </m:oMath>
            </m:oMathPara>
          </w:p>
          <w:p w14:paraId="4B9D1503" w14:textId="6F732B2C" w:rsidR="00A511D0" w:rsidRDefault="005837DC" w:rsidP="00A511D0">
            <w:pPr>
              <w:spacing w:after="87"/>
              <w:jc w:val="center"/>
            </w:pPr>
            <m:oMathPara>
              <m:oMath>
                <m:sSub>
                  <m:sSubPr>
                    <m:ctrlPr>
                      <w:rPr>
                        <w:rFonts w:ascii="Cambria Math" w:hAnsi="Cambria Math"/>
                        <w:i/>
                      </w:rPr>
                    </m:ctrlPr>
                  </m:sSubPr>
                  <m:e>
                    <m:r>
                      <w:rPr>
                        <w:rFonts w:ascii="Cambria Math" w:hAnsi="Cambria Math"/>
                      </w:rPr>
                      <m:t>ϵ</m:t>
                    </m:r>
                  </m:e>
                  <m:sub>
                    <m:sSub>
                      <m:sSubPr>
                        <m:ctrlPr>
                          <w:rPr>
                            <w:rFonts w:ascii="Cambria Math" w:hAnsi="Cambria Math"/>
                            <w:i/>
                          </w:rPr>
                        </m:ctrlPr>
                      </m:sSubPr>
                      <m:e>
                        <m:r>
                          <w:rPr>
                            <w:rFonts w:ascii="Cambria Math" w:hAnsi="Cambria Math"/>
                          </w:rPr>
                          <m:t>2</m:t>
                        </m:r>
                      </m:e>
                      <m:sub>
                        <m:r>
                          <w:rPr>
                            <w:rFonts w:ascii="Cambria Math" w:hAnsi="Cambria Math"/>
                          </w:rPr>
                          <m:t>%</m:t>
                        </m:r>
                      </m:sub>
                    </m:sSub>
                  </m:sub>
                </m:sSub>
              </m:oMath>
            </m:oMathPara>
          </w:p>
        </w:tc>
        <w:tc>
          <w:tcPr>
            <w:tcW w:w="1464" w:type="dxa"/>
          </w:tcPr>
          <w:p w14:paraId="14C68C1C" w14:textId="5CD1DAE2" w:rsidR="00740567" w:rsidRDefault="00180081" w:rsidP="00740567">
            <w:pPr>
              <w:spacing w:after="87"/>
              <w:jc w:val="center"/>
            </w:pPr>
            <w:r>
              <w:t>2</w:t>
            </w:r>
            <w:r w:rsidR="00740567">
              <w:t>0.</w:t>
            </w:r>
            <w:r>
              <w:t>5</w:t>
            </w:r>
          </w:p>
          <w:p w14:paraId="3C9E632D" w14:textId="79177A95" w:rsidR="00A511D0" w:rsidRDefault="00A511D0" w:rsidP="00740567">
            <w:pPr>
              <w:spacing w:after="87"/>
              <w:jc w:val="center"/>
            </w:pPr>
            <w:r>
              <w:t>2.3</w:t>
            </w:r>
          </w:p>
        </w:tc>
        <w:tc>
          <w:tcPr>
            <w:tcW w:w="1517" w:type="dxa"/>
          </w:tcPr>
          <w:p w14:paraId="0B7B7E64" w14:textId="61AA35F5" w:rsidR="00740567" w:rsidRDefault="0046024B" w:rsidP="00740567">
            <w:pPr>
              <w:spacing w:after="87"/>
              <w:jc w:val="center"/>
            </w:pPr>
            <w:r>
              <w:t>4</w:t>
            </w:r>
            <w:r w:rsidR="00740567">
              <w:t>1.</w:t>
            </w:r>
            <w:r>
              <w:t>1</w:t>
            </w:r>
          </w:p>
          <w:p w14:paraId="56222328" w14:textId="2C1A6402" w:rsidR="00A511D0" w:rsidRPr="0025636D" w:rsidRDefault="00A511D0" w:rsidP="00740567">
            <w:pPr>
              <w:spacing w:after="87"/>
              <w:jc w:val="center"/>
            </w:pPr>
            <w:r>
              <w:t>4.67</w:t>
            </w:r>
          </w:p>
        </w:tc>
        <w:tc>
          <w:tcPr>
            <w:tcW w:w="1517" w:type="dxa"/>
          </w:tcPr>
          <w:p w14:paraId="3C955A02" w14:textId="3F3864C1" w:rsidR="00BD35E8" w:rsidRDefault="006C524B" w:rsidP="000A506D">
            <w:pPr>
              <w:spacing w:after="87"/>
              <w:jc w:val="center"/>
            </w:pPr>
            <w:r>
              <w:t>48</w:t>
            </w:r>
            <w:r w:rsidR="00EE4204">
              <w:t>.</w:t>
            </w:r>
            <w:r>
              <w:t>6</w:t>
            </w:r>
          </w:p>
          <w:p w14:paraId="00209F36" w14:textId="5D5A0350" w:rsidR="00A511D0" w:rsidRPr="0025636D" w:rsidRDefault="00A511D0" w:rsidP="00BD35E8">
            <w:pPr>
              <w:spacing w:after="87"/>
              <w:jc w:val="center"/>
            </w:pPr>
            <w:r>
              <w:t>9.33</w:t>
            </w:r>
          </w:p>
        </w:tc>
        <w:tc>
          <w:tcPr>
            <w:tcW w:w="1518" w:type="dxa"/>
          </w:tcPr>
          <w:p w14:paraId="0C99729F" w14:textId="717E1FCB" w:rsidR="00DC2AE4" w:rsidRDefault="00945386" w:rsidP="00BD35E8">
            <w:pPr>
              <w:spacing w:after="87"/>
              <w:jc w:val="center"/>
            </w:pPr>
            <w:r>
              <w:t>97.2</w:t>
            </w:r>
          </w:p>
          <w:p w14:paraId="4E5DEA08" w14:textId="164267EB" w:rsidR="00BD35E8" w:rsidRDefault="00BD35E8" w:rsidP="00BD35E8">
            <w:pPr>
              <w:spacing w:after="87"/>
              <w:jc w:val="center"/>
            </w:pPr>
            <w:r>
              <w:t>18.7</w:t>
            </w:r>
          </w:p>
        </w:tc>
      </w:tr>
    </w:tbl>
    <w:p w14:paraId="3C32EC08" w14:textId="0895B3D8" w:rsidR="00D2027D" w:rsidRDefault="00D2027D" w:rsidP="005A42BB"/>
    <w:p w14:paraId="0C7D1380" w14:textId="600FEFF1" w:rsidR="00D2027D" w:rsidRDefault="00D2027D" w:rsidP="00D2027D">
      <w:pPr>
        <w:pStyle w:val="Heading1"/>
      </w:pPr>
      <w:r>
        <w:t>Reuse</w:t>
      </w:r>
      <w:r w:rsidR="008A7BC4">
        <w:t xml:space="preserve"> of</w:t>
      </w:r>
      <w:r>
        <w:t xml:space="preserve"> current SRS configurations</w:t>
      </w:r>
    </w:p>
    <w:p w14:paraId="3561DA96" w14:textId="5B3979C8" w:rsidR="00D2027D" w:rsidRDefault="008A7BC4" w:rsidP="00D2027D">
      <w:r>
        <w:t>In Rel</w:t>
      </w:r>
      <w:r w:rsidR="00105379">
        <w:t>-</w:t>
      </w:r>
      <w:r>
        <w:t xml:space="preserve">15, SRS resources are configured by </w:t>
      </w:r>
      <w:r>
        <w:rPr>
          <w:i/>
        </w:rPr>
        <w:t>SRS-Resource</w:t>
      </w:r>
      <w:r w:rsidR="00401769">
        <w:t xml:space="preserve"> and can </w:t>
      </w:r>
      <w:r w:rsidR="00B54136">
        <w:t xml:space="preserve">have either periodic, semi-persistent or aperiodic time-domain </w:t>
      </w:r>
      <w:r w:rsidR="00ED12DC">
        <w:t>behaviour</w:t>
      </w:r>
      <w:r w:rsidR="00B54136">
        <w:t xml:space="preserve">. The SRS can </w:t>
      </w:r>
      <w:r w:rsidR="00C23C46">
        <w:t xml:space="preserve">be placed </w:t>
      </w:r>
      <w:r w:rsidR="00D2027D">
        <w:t>in the last 6 UL symbols</w:t>
      </w:r>
      <w:r w:rsidR="00C23C46">
        <w:t xml:space="preserve"> of a slot</w:t>
      </w:r>
      <w:r w:rsidR="00B54136" w:rsidRPr="00B54136">
        <w:t xml:space="preserve"> </w:t>
      </w:r>
      <w:r w:rsidR="00B54136">
        <w:t>and the resource may span 1, 2 or 4 consecutive OFDM symbols.</w:t>
      </w:r>
      <w:r w:rsidR="00C23C46">
        <w:t xml:space="preserve"> </w:t>
      </w:r>
      <w:r w:rsidR="00B54136">
        <w:t>In frequency-domain the SRS</w:t>
      </w:r>
      <w:r w:rsidR="00C23C46">
        <w:t xml:space="preserve"> is mapped using </w:t>
      </w:r>
      <w:r w:rsidR="00D2027D">
        <w:t>comb 2 or 4</w:t>
      </w:r>
      <w:r w:rsidR="00C23C46">
        <w:t xml:space="preserve"> </w:t>
      </w:r>
      <w:r w:rsidR="00B54136">
        <w:t>and t</w:t>
      </w:r>
      <w:r w:rsidR="00C23C46">
        <w:t>he SRS bandwidth is configured on</w:t>
      </w:r>
      <w:r w:rsidR="00D2027D">
        <w:t xml:space="preserve"> grid with 4 PRB resolution</w:t>
      </w:r>
      <w:r w:rsidR="00B54136">
        <w:t>.</w:t>
      </w:r>
      <w:r w:rsidR="00D2027D">
        <w:t xml:space="preserve"> </w:t>
      </w:r>
      <w:r w:rsidR="00C23C46">
        <w:t>Further</w:t>
      </w:r>
      <w:r w:rsidR="001812ED">
        <w:t>more</w:t>
      </w:r>
      <w:r w:rsidR="00C23C46">
        <w:t>, w</w:t>
      </w:r>
      <w:r w:rsidR="00C23C46" w:rsidRPr="00E01009">
        <w:t xml:space="preserve">hen PUSCH and SRS are transmitted in the same slot, the UE </w:t>
      </w:r>
      <w:r w:rsidR="00C23C46">
        <w:t>may</w:t>
      </w:r>
      <w:r w:rsidR="00C23C46" w:rsidRPr="00E01009">
        <w:t xml:space="preserve"> only transmit SRS after PUSCH </w:t>
      </w:r>
      <w:r w:rsidR="00C23C46">
        <w:t>(</w:t>
      </w:r>
      <w:r w:rsidR="00C23C46" w:rsidRPr="00E01009">
        <w:t>and the corresponding DM-RS</w:t>
      </w:r>
      <w:r w:rsidR="00C23C46">
        <w:t>)</w:t>
      </w:r>
      <w:r w:rsidR="00C23C46" w:rsidRPr="00E01009">
        <w:t>.</w:t>
      </w:r>
    </w:p>
    <w:p w14:paraId="25CCF8B5" w14:textId="646189D9" w:rsidR="00CA0B5B" w:rsidRDefault="00401769" w:rsidP="00D2027D">
      <w:r>
        <w:t xml:space="preserve">The SRS </w:t>
      </w:r>
      <w:r w:rsidR="00B54136">
        <w:t>resources are then further grouped into SRS resource sets, w</w:t>
      </w:r>
      <w:r w:rsidR="00A279F2">
        <w:t xml:space="preserve">here each set is defined with a specific </w:t>
      </w:r>
      <w:r w:rsidR="00A279F2">
        <w:rPr>
          <w:i/>
        </w:rPr>
        <w:t>usage</w:t>
      </w:r>
      <w:r w:rsidR="00A279F2">
        <w:t xml:space="preserve"> and each </w:t>
      </w:r>
      <w:r w:rsidR="00A279F2">
        <w:rPr>
          <w:i/>
        </w:rPr>
        <w:t>usage</w:t>
      </w:r>
      <w:r w:rsidR="00A279F2">
        <w:t xml:space="preserve"> is associated with a certain transmission proper</w:t>
      </w:r>
      <w:r w:rsidR="00D05D42">
        <w:t xml:space="preserve">ties and configuration limitations. </w:t>
      </w:r>
      <w:r w:rsidR="00D2027D">
        <w:t xml:space="preserve">There are four specified SRS </w:t>
      </w:r>
      <w:r w:rsidR="00D05D42">
        <w:t xml:space="preserve">set usages: </w:t>
      </w:r>
      <w:r w:rsidR="00D2027D" w:rsidRPr="002D0C56">
        <w:rPr>
          <w:i/>
        </w:rPr>
        <w:t>codebook</w:t>
      </w:r>
      <w:r w:rsidR="00D2027D">
        <w:t xml:space="preserve">, </w:t>
      </w:r>
      <w:r w:rsidR="00D2027D" w:rsidRPr="002D0C56">
        <w:rPr>
          <w:i/>
        </w:rPr>
        <w:t>non-codebook</w:t>
      </w:r>
      <w:r w:rsidR="00D2027D">
        <w:t xml:space="preserve">, </w:t>
      </w:r>
      <w:r w:rsidR="00D2027D" w:rsidRPr="002D0C56">
        <w:rPr>
          <w:i/>
        </w:rPr>
        <w:t>beam management</w:t>
      </w:r>
      <w:r w:rsidR="00D2027D">
        <w:t xml:space="preserve"> and </w:t>
      </w:r>
      <w:r w:rsidR="00D2027D" w:rsidRPr="002D0C56">
        <w:rPr>
          <w:i/>
        </w:rPr>
        <w:t>antenna switching</w:t>
      </w:r>
      <w:r w:rsidR="00CA0B5B">
        <w:rPr>
          <w:i/>
        </w:rPr>
        <w:t>/CSI acquisition</w:t>
      </w:r>
      <w:r w:rsidR="00D2027D">
        <w:t xml:space="preserve">. </w:t>
      </w:r>
    </w:p>
    <w:p w14:paraId="6C4A7811" w14:textId="33D49545" w:rsidR="00CA0B5B" w:rsidRDefault="00CA0B5B" w:rsidP="00D2027D">
      <w:r>
        <w:t>Only one codebook or non-codebook based SRS resource set can be configured</w:t>
      </w:r>
      <w:r w:rsidR="008B2DB0">
        <w:t xml:space="preserve">, where up to two SRS resource can be contained in a codebook-based resource set and up to four resources in a non-codebook based resource set.  </w:t>
      </w:r>
      <w:r w:rsidR="004431FE">
        <w:t>These SRS resources are directly tied to PUSCH transmission and are selected by the SRI field of the sched</w:t>
      </w:r>
      <w:r w:rsidR="00E70E4F">
        <w:t>u</w:t>
      </w:r>
      <w:r w:rsidR="004431FE">
        <w:t>ling DCI.</w:t>
      </w:r>
      <w:r w:rsidR="00E70E4F">
        <w:t xml:space="preserve"> It </w:t>
      </w:r>
      <w:r w:rsidR="00450DD3">
        <w:t xml:space="preserve">is thus not clear that these SRS resources can be re-used for SRS transmission for CLI purpose. For instance, it is typically beneficial to apply aperiodic SRS transmission for </w:t>
      </w:r>
      <w:r w:rsidR="0089005F">
        <w:t>UL</w:t>
      </w:r>
      <w:r w:rsidR="004825FE">
        <w:t xml:space="preserve"> link adaptation</w:t>
      </w:r>
      <w:r w:rsidR="0089005F">
        <w:t xml:space="preserve"> </w:t>
      </w:r>
      <w:r w:rsidR="004825FE">
        <w:t>(</w:t>
      </w:r>
      <w:r w:rsidR="0089005F">
        <w:t>LA</w:t>
      </w:r>
      <w:r w:rsidR="004825FE">
        <w:t>)</w:t>
      </w:r>
      <w:r w:rsidR="0089005F">
        <w:t xml:space="preserve"> purpose</w:t>
      </w:r>
      <w:r w:rsidR="00AC1E9A">
        <w:t>,</w:t>
      </w:r>
      <w:r w:rsidR="0089005F">
        <w:t xml:space="preserve"> whereas the SRS</w:t>
      </w:r>
      <w:r w:rsidR="00C046C0">
        <w:t xml:space="preserve"> for CLI measurement must be a periodic resource since the measurement report is conveyed over L3. One might also </w:t>
      </w:r>
      <w:r w:rsidR="00C046C0">
        <w:lastRenderedPageBreak/>
        <w:t xml:space="preserve">want to use only a single SRS port for CLI </w:t>
      </w:r>
      <w:r w:rsidR="00B009DC">
        <w:t>measurement</w:t>
      </w:r>
      <w:r w:rsidR="00C046C0">
        <w:t xml:space="preserve"> even if multi-port SRS resource is used</w:t>
      </w:r>
      <w:r w:rsidR="00B009DC">
        <w:t xml:space="preserve"> for codebook/non-codebook UL operation. If cell</w:t>
      </w:r>
      <w:r w:rsidR="00995DDB">
        <w:t xml:space="preserve"> and/or UE-group specific transmission of the CLI-SRS is desired, the existing SRS transmissions for codebook/non-codebook cannot be re-used either</w:t>
      </w:r>
      <w:r w:rsidR="000F78DF">
        <w:t xml:space="preserve"> as </w:t>
      </w:r>
      <w:r w:rsidR="00C56B4D">
        <w:t>the UE-group specific transmission cannot be used for individual UE UL link adaptation or CSI acquisition.</w:t>
      </w:r>
    </w:p>
    <w:p w14:paraId="2ADE9442" w14:textId="1584EA6C" w:rsidR="00A965CA" w:rsidRDefault="00A965CA" w:rsidP="002D0C56">
      <w:pPr>
        <w:pStyle w:val="Observation"/>
      </w:pPr>
      <w:bookmarkStart w:id="9" w:name="_Toc1144426"/>
      <w:r>
        <w:t>For CLI measurement purpose, UE may need to transmit a periodic SRS resource which is different form</w:t>
      </w:r>
      <w:r w:rsidR="00740831">
        <w:t xml:space="preserve"> the one used for PUSCH link adaptation</w:t>
      </w:r>
      <w:bookmarkEnd w:id="9"/>
    </w:p>
    <w:p w14:paraId="36665A8F" w14:textId="0CF2374E" w:rsidR="00CE2A4F" w:rsidRDefault="00B009DC" w:rsidP="00D2027D">
      <w:r>
        <w:t>Thus, it could be beneficial to be able to configure</w:t>
      </w:r>
      <w:r w:rsidR="00BC632C">
        <w:t xml:space="preserve"> a separate periodic SRS </w:t>
      </w:r>
      <w:r w:rsidR="00A358BD">
        <w:t xml:space="preserve">resource </w:t>
      </w:r>
      <w:r w:rsidR="00BC632C">
        <w:t>which is not directly related</w:t>
      </w:r>
      <w:r w:rsidR="00A358BD">
        <w:t xml:space="preserve"> to the PUSCH transmission. The SRS Resource set with </w:t>
      </w:r>
      <w:r w:rsidR="00A358BD">
        <w:rPr>
          <w:i/>
        </w:rPr>
        <w:t>usage=beamMangement</w:t>
      </w:r>
      <w:r w:rsidR="00A358BD">
        <w:t xml:space="preserve"> could potentially be re-used for this </w:t>
      </w:r>
      <w:r w:rsidR="00D56F27">
        <w:t xml:space="preserve">purpose since up to 16 such sets can be </w:t>
      </w:r>
      <w:r w:rsidR="00A866C9">
        <w:t>configured,</w:t>
      </w:r>
      <w:r w:rsidR="00D56F27">
        <w:t xml:space="preserve"> and</w:t>
      </w:r>
      <w:r w:rsidR="00A866C9">
        <w:t xml:space="preserve"> they are not directly coupled to PUSCH. H</w:t>
      </w:r>
      <w:r w:rsidR="00A358BD">
        <w:t>owever</w:t>
      </w:r>
      <w:r w:rsidR="00961FB2">
        <w:t>,</w:t>
      </w:r>
      <w:r w:rsidR="00A358BD">
        <w:t xml:space="preserve"> </w:t>
      </w:r>
      <w:r w:rsidR="00D56F27">
        <w:t xml:space="preserve">they are associated with the property that only a </w:t>
      </w:r>
      <w:r w:rsidR="00A866C9">
        <w:t>single SRS</w:t>
      </w:r>
      <w:r w:rsidR="00D56F27">
        <w:t xml:space="preserve"> resource in each resource set can be </w:t>
      </w:r>
      <w:r w:rsidR="00A866C9">
        <w:t>simultaneously</w:t>
      </w:r>
      <w:r w:rsidR="00D56F27">
        <w:t xml:space="preserve"> </w:t>
      </w:r>
      <w:r w:rsidR="00A866C9">
        <w:t xml:space="preserve">transmitted, which </w:t>
      </w:r>
      <w:r w:rsidR="00961FB2">
        <w:t xml:space="preserve">is not a limitation required for CLI measurement SRS resource. In addition, they </w:t>
      </w:r>
      <w:r w:rsidR="00351429">
        <w:t xml:space="preserve">are associated with a separate UE capability which </w:t>
      </w:r>
      <w:r w:rsidR="00CE2A4F">
        <w:t>is not typically</w:t>
      </w:r>
      <w:r w:rsidR="00351429">
        <w:t xml:space="preserve"> reported by </w:t>
      </w:r>
      <w:r w:rsidR="00CE2A4F">
        <w:t xml:space="preserve">a FR1 UE. </w:t>
      </w:r>
    </w:p>
    <w:p w14:paraId="560E52E7" w14:textId="58725182" w:rsidR="00B009DC" w:rsidRDefault="00CE2A4F" w:rsidP="00D2027D">
      <w:r>
        <w:t>Similarly</w:t>
      </w:r>
      <w:r w:rsidR="001143BD">
        <w:t xml:space="preserve">, the </w:t>
      </w:r>
      <w:r w:rsidR="00B95083">
        <w:t xml:space="preserve">SRS resource sets with </w:t>
      </w:r>
      <w:r w:rsidR="00B95083">
        <w:rPr>
          <w:i/>
        </w:rPr>
        <w:t>usage=</w:t>
      </w:r>
      <w:r w:rsidR="00B95083" w:rsidRPr="0045548D">
        <w:rPr>
          <w:i/>
        </w:rPr>
        <w:t>antenna switching</w:t>
      </w:r>
      <w:r w:rsidR="00B95083">
        <w:rPr>
          <w:i/>
        </w:rPr>
        <w:t>/CSI acquisition</w:t>
      </w:r>
      <w:r w:rsidR="00B95083">
        <w:t>,</w:t>
      </w:r>
      <w:r w:rsidR="0088072A">
        <w:t xml:space="preserve"> are tightly coupled to the UE</w:t>
      </w:r>
      <w:r w:rsidR="000F78DF">
        <w:t>s</w:t>
      </w:r>
      <w:r w:rsidR="00876D4F">
        <w:t xml:space="preserve"> reported capability and the UE is only expected to be configured with</w:t>
      </w:r>
      <w:r w:rsidR="00FB69E3">
        <w:t xml:space="preserve"> resources and sets in a certain way.</w:t>
      </w:r>
    </w:p>
    <w:p w14:paraId="34ADDB9E" w14:textId="19A46316" w:rsidR="002C486E" w:rsidRPr="00F6460E" w:rsidRDefault="007A1EB2" w:rsidP="00D2027D">
      <w:r>
        <w:t xml:space="preserve">To enable SRS transmission for CLI purpose, a new SRS resource set usage could be </w:t>
      </w:r>
      <w:r w:rsidR="00BE2233">
        <w:t>introduced,</w:t>
      </w:r>
      <w:r w:rsidR="00DA587C">
        <w:t xml:space="preserve"> or existing </w:t>
      </w:r>
      <w:r w:rsidR="007719C2">
        <w:t>SRS set usages could be made more flexible and not as tightly coupled with UE’s reported capability</w:t>
      </w:r>
      <w:r w:rsidR="004015D6">
        <w:t xml:space="preserve">. </w:t>
      </w:r>
      <w:r w:rsidR="007719C2">
        <w:t>That is</w:t>
      </w:r>
      <w:r w:rsidR="007D0951">
        <w:t xml:space="preserve">, it is </w:t>
      </w:r>
      <w:r w:rsidR="004015D6">
        <w:t>not tightly coupled wit</w:t>
      </w:r>
      <w:r w:rsidR="00122095">
        <w:t>h only CLI measurement</w:t>
      </w:r>
      <w:r w:rsidR="007D0951">
        <w:t>,</w:t>
      </w:r>
      <w:r w:rsidR="00122095">
        <w:t xml:space="preserve"> so </w:t>
      </w:r>
      <w:r w:rsidR="007D0951">
        <w:t>the</w:t>
      </w:r>
      <w:r w:rsidR="00122095">
        <w:t xml:space="preserve"> SRS could be </w:t>
      </w:r>
      <w:r w:rsidR="007719C2">
        <w:t xml:space="preserve">re-used </w:t>
      </w:r>
      <w:r w:rsidR="009A44C5">
        <w:t>in future applications</w:t>
      </w:r>
      <w:r w:rsidR="007719C2">
        <w:t>. One option is to</w:t>
      </w:r>
      <w:r w:rsidR="003E391F">
        <w:t xml:space="preserve"> allow more SRS resource sets with </w:t>
      </w:r>
      <w:r w:rsidR="003E391F" w:rsidRPr="0045548D">
        <w:rPr>
          <w:i/>
        </w:rPr>
        <w:t>antenna switching</w:t>
      </w:r>
      <w:r w:rsidR="003E391F">
        <w:rPr>
          <w:i/>
        </w:rPr>
        <w:t xml:space="preserve">/CSI acquisition </w:t>
      </w:r>
      <w:r w:rsidR="003E391F">
        <w:t>to be configured</w:t>
      </w:r>
      <w:r w:rsidR="00A965CA">
        <w:t xml:space="preserve">. </w:t>
      </w:r>
      <w:r w:rsidR="00F6460E">
        <w:t>Another option is to introduce a new, more generic,</w:t>
      </w:r>
      <w:r w:rsidR="00F6460E">
        <w:rPr>
          <w:i/>
        </w:rPr>
        <w:t xml:space="preserve"> </w:t>
      </w:r>
      <w:r w:rsidR="00F6460E">
        <w:t>set usage for SRS</w:t>
      </w:r>
      <w:r w:rsidR="009644CB">
        <w:t>.</w:t>
      </w:r>
    </w:p>
    <w:p w14:paraId="6E72EC0C" w14:textId="4C461315" w:rsidR="00A965CA" w:rsidRPr="00E3782E" w:rsidRDefault="00A965CA" w:rsidP="002D0C56">
      <w:pPr>
        <w:pStyle w:val="Proposal"/>
      </w:pPr>
      <w:bookmarkStart w:id="10" w:name="_Toc1144430"/>
      <w:r>
        <w:t xml:space="preserve">For SRS transmission for </w:t>
      </w:r>
      <w:r w:rsidR="00740831">
        <w:t xml:space="preserve">CLI measurement purpose, consider making SRS resource set configuration </w:t>
      </w:r>
      <w:r w:rsidR="00F6460E">
        <w:t xml:space="preserve">for sets with </w:t>
      </w:r>
      <w:r w:rsidR="00F6460E" w:rsidRPr="002D0C56">
        <w:rPr>
          <w:i/>
        </w:rPr>
        <w:t>usage</w:t>
      </w:r>
      <w:r w:rsidR="00F6460E">
        <w:t>=</w:t>
      </w:r>
      <w:r w:rsidR="00F6460E" w:rsidRPr="0045548D">
        <w:rPr>
          <w:i/>
        </w:rPr>
        <w:t>antenna switching</w:t>
      </w:r>
      <w:r w:rsidR="00F6460E">
        <w:rPr>
          <w:i/>
        </w:rPr>
        <w:t xml:space="preserve">/CSI acquisition </w:t>
      </w:r>
      <w:r w:rsidR="00F6460E">
        <w:t xml:space="preserve">more flexible or </w:t>
      </w:r>
      <w:r w:rsidR="009644CB">
        <w:t xml:space="preserve">introducing a new </w:t>
      </w:r>
      <w:r w:rsidR="009644CB">
        <w:rPr>
          <w:i/>
        </w:rPr>
        <w:t>generic</w:t>
      </w:r>
      <w:r w:rsidR="009644CB">
        <w:t xml:space="preserve"> SRS resource set </w:t>
      </w:r>
      <w:r w:rsidR="009644CB" w:rsidRPr="002D0C56">
        <w:rPr>
          <w:i/>
        </w:rPr>
        <w:t>usage</w:t>
      </w:r>
      <w:bookmarkEnd w:id="10"/>
    </w:p>
    <w:p w14:paraId="45B0C4F8" w14:textId="37A7405F" w:rsidR="00CA0B5B" w:rsidRDefault="009644CB" w:rsidP="009644CB">
      <w:pPr>
        <w:pStyle w:val="Heading1"/>
      </w:pPr>
      <w:r>
        <w:t>PDSCH rate matching</w:t>
      </w:r>
    </w:p>
    <w:p w14:paraId="3311971D" w14:textId="223A49AF" w:rsidR="009644CB" w:rsidRDefault="009644CB" w:rsidP="009644CB">
      <w:r>
        <w:t>Another open issue is if configured SRS resources for CLI measurement purposes are rate matched around by PDSCH</w:t>
      </w:r>
      <w:r w:rsidR="006E4EED">
        <w:t xml:space="preserve">. Since, in our proposal, the measurement timing </w:t>
      </w:r>
      <w:r w:rsidR="003C385B">
        <w:t xml:space="preserve">of SRS measurement is offset </w:t>
      </w:r>
      <w:r w:rsidR="00570FA1">
        <w:t xml:space="preserve">relative to its own </w:t>
      </w:r>
      <w:r w:rsidR="003C385B">
        <w:t>DL</w:t>
      </w:r>
      <w:r w:rsidR="00570FA1">
        <w:t xml:space="preserve"> reception</w:t>
      </w:r>
      <w:r w:rsidR="003C385B">
        <w:t xml:space="preserve"> timing, using RE level rate matching is not possible due to the </w:t>
      </w:r>
      <w:r w:rsidR="00202C8B">
        <w:t xml:space="preserve">non-aligned frames. Instead, PDSCH transmission must be avoided completely in the OFDM symbols overlapping with the SRS measurement. </w:t>
      </w:r>
      <w:r w:rsidR="00F67982">
        <w:t xml:space="preserve">The next question is if such behaviour can already be supported by Rel-15 or </w:t>
      </w:r>
      <w:r w:rsidR="006C06CA">
        <w:t xml:space="preserve">if new behaviour is needed. </w:t>
      </w:r>
    </w:p>
    <w:p w14:paraId="4359DDFF" w14:textId="22505D20" w:rsidR="006C06CA" w:rsidRDefault="006C06CA" w:rsidP="009644CB">
      <w:r>
        <w:t>In our understanding, there are multiple tools in the Rel-15 toolbox that can be used to accomplish this goal</w:t>
      </w:r>
      <w:r w:rsidR="00FA5FD6">
        <w:t xml:space="preserve">. For instance, the gNB can in its implementation simply avoid </w:t>
      </w:r>
      <w:r w:rsidR="00DA7767">
        <w:t xml:space="preserve">scheduling </w:t>
      </w:r>
      <w:r w:rsidR="00FA5FD6">
        <w:t xml:space="preserve">PDSCH on the SRS measurement resources by for instance shortening the PDSCH duration or avoiding </w:t>
      </w:r>
      <w:r w:rsidR="00DA7767">
        <w:t xml:space="preserve">scheduling </w:t>
      </w:r>
      <w:r w:rsidR="00FA5FD6">
        <w:t xml:space="preserve">in the slots where SRS is measured entirely. </w:t>
      </w:r>
      <w:r w:rsidR="00591389">
        <w:t xml:space="preserve">Another option, which may be more suitable in order to control UE complexity, is to configure a measurement gap </w:t>
      </w:r>
      <w:r w:rsidR="00B13A30">
        <w:t>overlapping</w:t>
      </w:r>
      <w:r w:rsidR="00591389">
        <w:t xml:space="preserve"> the SRS resources to </w:t>
      </w:r>
      <w:r w:rsidR="00B13A30">
        <w:t>assure UE that it does not need to receive PDSCH simultaneously as it does the CLI measurement, similar to how inter-frequency measurements are handled.</w:t>
      </w:r>
      <w:r w:rsidR="003F3A68">
        <w:t xml:space="preserve"> Yet another option is to configure </w:t>
      </w:r>
      <w:r w:rsidR="003F3A68" w:rsidRPr="00CD31B9">
        <w:rPr>
          <w:i/>
        </w:rPr>
        <w:t xml:space="preserve">reserved </w:t>
      </w:r>
      <w:r w:rsidR="004831AF" w:rsidRPr="00CD31B9">
        <w:rPr>
          <w:i/>
        </w:rPr>
        <w:t>resources</w:t>
      </w:r>
      <w:r w:rsidR="003F3A68" w:rsidRPr="00B36A2E">
        <w:t xml:space="preserve"> (</w:t>
      </w:r>
      <w:r w:rsidR="003F3A68">
        <w:t>i.e. rate matching with RB/symbol-level granularity) overlapping the SRS measurement resources, taking into account the difference in timing. Thus, a new mechanism for rate matching is not needed.</w:t>
      </w:r>
    </w:p>
    <w:p w14:paraId="6349620E" w14:textId="747DD87C" w:rsidR="003F3A68" w:rsidRPr="00E3782E" w:rsidRDefault="008233E4" w:rsidP="00CD31B9">
      <w:pPr>
        <w:pStyle w:val="Proposal"/>
      </w:pPr>
      <w:bookmarkStart w:id="11" w:name="_Toc1144431"/>
      <w:r>
        <w:t>No new PDSCH rate matching functionality is introduced for SRS for CLI measurement</w:t>
      </w:r>
      <w:bookmarkEnd w:id="11"/>
    </w:p>
    <w:p w14:paraId="72211D23" w14:textId="344E588B" w:rsidR="00D2027D" w:rsidRDefault="003F3A68" w:rsidP="005A42BB">
      <w:r>
        <w:t xml:space="preserve"> </w:t>
      </w:r>
    </w:p>
    <w:p w14:paraId="3CA7A270" w14:textId="76005E00" w:rsidR="00BE2233" w:rsidRDefault="00BE2233" w:rsidP="00CD31B9">
      <w:pPr>
        <w:pStyle w:val="Heading1"/>
      </w:pPr>
      <w:r>
        <w:t>Other issues</w:t>
      </w:r>
    </w:p>
    <w:p w14:paraId="4D07F5FA" w14:textId="05224EDD" w:rsidR="008233E4" w:rsidRDefault="00BE2233" w:rsidP="005A42BB">
      <w:r>
        <w:t xml:space="preserve">Other proposal that was listed in the feature lead summary was for instance if different beam direction or power </w:t>
      </w:r>
      <w:r w:rsidR="005837DC">
        <w:t>control should</w:t>
      </w:r>
      <w:r>
        <w:t xml:space="preserve"> be applied for SRS for CLI measurement. Regarding the former, we note that each SRS Resource </w:t>
      </w:r>
      <w:r w:rsidR="00D6569B">
        <w:t xml:space="preserve">can already be configured with an independent </w:t>
      </w:r>
      <w:r w:rsidR="00D6569B">
        <w:rPr>
          <w:i/>
        </w:rPr>
        <w:t>spatialRelationInfo,</w:t>
      </w:r>
      <w:r w:rsidR="00D6569B">
        <w:t xml:space="preserve"> which </w:t>
      </w:r>
      <w:r w:rsidR="00D53682">
        <w:t xml:space="preserve">indicates the RS to use as spatial relation and thus which beamforming should be applied. The Tx beam for the SRS transmission can thus be arbitrarily indicated already and no further spec change is needed. Similarly, the power control parameters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009547A2">
        <w:t xml:space="preserve">, </w:t>
      </w:r>
      <w:r w:rsidR="009547A2">
        <w:rPr>
          <w:i/>
        </w:rPr>
        <w:t>alpha</w:t>
      </w:r>
      <w:r w:rsidR="009547A2">
        <w:t xml:space="preserve"> as well as the </w:t>
      </w:r>
      <w:r w:rsidR="00963F15">
        <w:t xml:space="preserve">pathloss reference RS is already independently configured per SRS resource set, hence the SRS for CLI measurement purpose, if </w:t>
      </w:r>
      <w:r w:rsidR="00963F15">
        <w:lastRenderedPageBreak/>
        <w:t>configured in a separate SRS resource set</w:t>
      </w:r>
      <w:r w:rsidR="002C2A25">
        <w:t>,</w:t>
      </w:r>
      <w:r w:rsidR="00963F15">
        <w:t xml:space="preserve"> can already be independently power controlled (and the gNB can choose to either follow the PUSCH </w:t>
      </w:r>
      <w:r w:rsidR="0094438E">
        <w:t>power</w:t>
      </w:r>
      <w:r w:rsidR="00963F15">
        <w:t xml:space="preserve"> control</w:t>
      </w:r>
      <w:r w:rsidR="0094438E">
        <w:t xml:space="preserve"> or not). Hence, no </w:t>
      </w:r>
      <w:r w:rsidR="001C41A3">
        <w:t>further spec changes are required.</w:t>
      </w:r>
    </w:p>
    <w:p w14:paraId="7EAB6068" w14:textId="3CA742A5" w:rsidR="0094438E" w:rsidRDefault="0094438E" w:rsidP="0094438E">
      <w:pPr>
        <w:pStyle w:val="Observation"/>
      </w:pPr>
      <w:bookmarkStart w:id="12" w:name="_Toc1144427"/>
      <w:r>
        <w:t>There already existing mechanisms in the spec to independently determine the TX beam direction and power control parameter for an SRS resource (set)</w:t>
      </w:r>
      <w:bookmarkEnd w:id="12"/>
    </w:p>
    <w:p w14:paraId="77B48130" w14:textId="65F12942" w:rsidR="001C41A3" w:rsidRPr="00E3782E" w:rsidRDefault="001C41A3" w:rsidP="00CD31B9">
      <w:pPr>
        <w:pStyle w:val="Proposal"/>
      </w:pPr>
      <w:bookmarkStart w:id="13" w:name="_Toc1144432"/>
      <w:r>
        <w:t>No further spec changes are needed to control Tx beam direction or PC parameters for SRS transmission for CLI measurement purpose</w:t>
      </w:r>
      <w:bookmarkEnd w:id="13"/>
      <w:r>
        <w:t xml:space="preserve"> </w:t>
      </w:r>
    </w:p>
    <w:p w14:paraId="4C21E7C5" w14:textId="74387E06" w:rsidR="00AC5CFA" w:rsidRDefault="001C41A3">
      <w:r>
        <w:t>There is also an FFS regarding measurement accuracy relaxations for SRS-RSRP measurement to account for imperfect timing knowledge. These</w:t>
      </w:r>
      <w:r w:rsidR="00EA0713">
        <w:t xml:space="preserve"> potential measurement relaxations </w:t>
      </w:r>
      <w:r>
        <w:t xml:space="preserve">should be </w:t>
      </w:r>
      <w:r w:rsidR="00EA0713">
        <w:t>left for RAN4</w:t>
      </w:r>
      <w:r>
        <w:t xml:space="preserve"> to determine and does not need to be </w:t>
      </w:r>
      <w:r w:rsidR="00A46D9D">
        <w:t>further discussed in RAN1</w:t>
      </w:r>
      <w:r w:rsidR="00EA0713">
        <w:t>.</w:t>
      </w:r>
      <w:r w:rsidR="0021211C">
        <w:t xml:space="preserve"> </w:t>
      </w:r>
      <w:r w:rsidR="00AC5CFA">
        <w:t>The details on measurement relaxations cannot be decided until the details of the measurement procedure are set anyway</w:t>
      </w:r>
      <w:r w:rsidR="00A46D9D">
        <w:t>.</w:t>
      </w:r>
    </w:p>
    <w:p w14:paraId="500FA207" w14:textId="2680042B" w:rsidR="006452FD" w:rsidRDefault="009D68ED" w:rsidP="006452FD">
      <w:pPr>
        <w:pStyle w:val="Proposal"/>
      </w:pPr>
      <w:bookmarkStart w:id="14" w:name="_Toc1144433"/>
      <w:r>
        <w:t>Details on potential</w:t>
      </w:r>
      <w:r w:rsidR="006452FD">
        <w:t xml:space="preserve"> measurement relaxations are left for RAN4</w:t>
      </w:r>
      <w:bookmarkEnd w:id="14"/>
    </w:p>
    <w:p w14:paraId="0EC0E72D" w14:textId="788A15E3" w:rsidR="00C22138" w:rsidRDefault="00AD5FA7" w:rsidP="00C22138">
      <w:pPr>
        <w:pStyle w:val="Heading1"/>
        <w:rPr>
          <w:lang w:val="en-US"/>
        </w:rPr>
      </w:pPr>
      <w:r>
        <w:rPr>
          <w:lang w:val="en-US"/>
        </w:rPr>
        <w:t xml:space="preserve">Conclusion </w:t>
      </w:r>
    </w:p>
    <w:p w14:paraId="3041F76E" w14:textId="3CE2FE68" w:rsidR="00517215" w:rsidRDefault="003C59FC" w:rsidP="005336DB">
      <w:r>
        <w:t xml:space="preserve">In this contribution we have discussed </w:t>
      </w:r>
      <w:r w:rsidR="007036F0">
        <w:t xml:space="preserve">SRS transmission for </w:t>
      </w:r>
      <w:r>
        <w:t>UE-to-UE CLI measurements.</w:t>
      </w:r>
    </w:p>
    <w:p w14:paraId="60E155F3" w14:textId="0DB588E0" w:rsidR="00A75490" w:rsidRDefault="00517215">
      <w:pPr>
        <w:pStyle w:val="TOC1"/>
        <w:rPr>
          <w:rFonts w:asciiTheme="minorHAnsi" w:eastAsiaTheme="minorEastAsia" w:hAnsiTheme="minorHAnsi" w:cstheme="minorBidi"/>
          <w:b w:val="0"/>
          <w:sz w:val="22"/>
          <w:lang w:val="sv-SE" w:eastAsia="sv-SE"/>
        </w:rPr>
      </w:pPr>
      <w:r>
        <w:rPr>
          <w:highlight w:val="yellow"/>
        </w:rPr>
        <w:fldChar w:fldCharType="begin"/>
      </w:r>
      <w:r>
        <w:rPr>
          <w:highlight w:val="yellow"/>
        </w:rPr>
        <w:instrText xml:space="preserve"> TOC \n \h \z \t "Observation;1" </w:instrText>
      </w:r>
      <w:r>
        <w:rPr>
          <w:highlight w:val="yellow"/>
        </w:rPr>
        <w:fldChar w:fldCharType="separate"/>
      </w:r>
      <w:hyperlink w:anchor="_Toc1144425" w:history="1">
        <w:r w:rsidR="00A75490" w:rsidRPr="00F477A7">
          <w:rPr>
            <w:rStyle w:val="Hyperlink"/>
          </w:rPr>
          <w:t>Observation 1</w:t>
        </w:r>
        <w:r w:rsidR="00A75490">
          <w:rPr>
            <w:rFonts w:asciiTheme="minorHAnsi" w:eastAsiaTheme="minorEastAsia" w:hAnsiTheme="minorHAnsi" w:cstheme="minorBidi"/>
            <w:b w:val="0"/>
            <w:sz w:val="22"/>
            <w:lang w:val="sv-SE" w:eastAsia="sv-SE"/>
          </w:rPr>
          <w:tab/>
        </w:r>
        <w:r w:rsidR="00A75490" w:rsidRPr="00F477A7">
          <w:rPr>
            <w:rStyle w:val="Hyperlink"/>
          </w:rPr>
          <w:t>For the cell sizes where dynamic TDD is relevant, a fixed timing offset for CLI-SRS measurement is sufficient</w:t>
        </w:r>
      </w:hyperlink>
    </w:p>
    <w:p w14:paraId="3FAB324E" w14:textId="1CC15950" w:rsidR="00A75490" w:rsidRDefault="00A75490">
      <w:pPr>
        <w:pStyle w:val="TOC1"/>
        <w:rPr>
          <w:rFonts w:asciiTheme="minorHAnsi" w:eastAsiaTheme="minorEastAsia" w:hAnsiTheme="minorHAnsi" w:cstheme="minorBidi"/>
          <w:b w:val="0"/>
          <w:sz w:val="22"/>
          <w:lang w:val="sv-SE" w:eastAsia="sv-SE"/>
        </w:rPr>
      </w:pPr>
      <w:hyperlink w:anchor="_Toc1144426" w:history="1">
        <w:r w:rsidRPr="00F477A7">
          <w:rPr>
            <w:rStyle w:val="Hyperlink"/>
          </w:rPr>
          <w:t>Observation 2</w:t>
        </w:r>
        <w:r>
          <w:rPr>
            <w:rFonts w:asciiTheme="minorHAnsi" w:eastAsiaTheme="minorEastAsia" w:hAnsiTheme="minorHAnsi" w:cstheme="minorBidi"/>
            <w:b w:val="0"/>
            <w:sz w:val="22"/>
            <w:lang w:val="sv-SE" w:eastAsia="sv-SE"/>
          </w:rPr>
          <w:tab/>
        </w:r>
        <w:r w:rsidRPr="00F477A7">
          <w:rPr>
            <w:rStyle w:val="Hyperlink"/>
          </w:rPr>
          <w:t>For CLI measurement purpose, UE may need to transmit a periodic SRS resource which is different form the one used for PUSCH link adaptation</w:t>
        </w:r>
      </w:hyperlink>
    </w:p>
    <w:p w14:paraId="25B5AAD0" w14:textId="5B355D55" w:rsidR="00A75490" w:rsidRDefault="00A75490">
      <w:pPr>
        <w:pStyle w:val="TOC1"/>
        <w:rPr>
          <w:rFonts w:asciiTheme="minorHAnsi" w:eastAsiaTheme="minorEastAsia" w:hAnsiTheme="minorHAnsi" w:cstheme="minorBidi"/>
          <w:b w:val="0"/>
          <w:sz w:val="22"/>
          <w:lang w:val="sv-SE" w:eastAsia="sv-SE"/>
        </w:rPr>
      </w:pPr>
      <w:hyperlink w:anchor="_Toc1144427" w:history="1">
        <w:r w:rsidRPr="00F477A7">
          <w:rPr>
            <w:rStyle w:val="Hyperlink"/>
          </w:rPr>
          <w:t>Observation 3</w:t>
        </w:r>
        <w:r>
          <w:rPr>
            <w:rFonts w:asciiTheme="minorHAnsi" w:eastAsiaTheme="minorEastAsia" w:hAnsiTheme="minorHAnsi" w:cstheme="minorBidi"/>
            <w:b w:val="0"/>
            <w:sz w:val="22"/>
            <w:lang w:val="sv-SE" w:eastAsia="sv-SE"/>
          </w:rPr>
          <w:tab/>
        </w:r>
        <w:r w:rsidRPr="00F477A7">
          <w:rPr>
            <w:rStyle w:val="Hyperlink"/>
          </w:rPr>
          <w:t>There already existing mechanisms in the spec to independently determine the TX beam direction and power control parameter for an SRS resource (set)</w:t>
        </w:r>
      </w:hyperlink>
    </w:p>
    <w:p w14:paraId="5999A3E0" w14:textId="07E8AA44" w:rsidR="00FC7433" w:rsidRDefault="00517215" w:rsidP="005336DB">
      <w:pPr>
        <w:rPr>
          <w:highlight w:val="yellow"/>
        </w:rPr>
      </w:pPr>
      <w:r>
        <w:rPr>
          <w:noProof/>
          <w:szCs w:val="22"/>
          <w:highlight w:val="yellow"/>
          <w:lang w:val="en-US"/>
        </w:rPr>
        <w:fldChar w:fldCharType="end"/>
      </w:r>
    </w:p>
    <w:bookmarkStart w:id="15" w:name="_Hlk533167434"/>
    <w:p w14:paraId="165884C2" w14:textId="7B492EC1" w:rsidR="00A75490" w:rsidRDefault="00FC7433">
      <w:pPr>
        <w:pStyle w:val="TOC1"/>
        <w:rPr>
          <w:rFonts w:asciiTheme="minorHAnsi" w:eastAsiaTheme="minorEastAsia" w:hAnsiTheme="minorHAnsi" w:cstheme="minorBidi"/>
          <w:b w:val="0"/>
          <w:sz w:val="22"/>
          <w:lang w:val="sv-SE" w:eastAsia="sv-SE"/>
        </w:rPr>
      </w:pPr>
      <w:r>
        <w:rPr>
          <w:highlight w:val="yellow"/>
        </w:rPr>
        <w:fldChar w:fldCharType="begin"/>
      </w:r>
      <w:r>
        <w:rPr>
          <w:highlight w:val="yellow"/>
        </w:rPr>
        <w:instrText xml:space="preserve"> TOC \n \h \z \t "Proposal;1" </w:instrText>
      </w:r>
      <w:r>
        <w:rPr>
          <w:highlight w:val="yellow"/>
        </w:rPr>
        <w:fldChar w:fldCharType="separate"/>
      </w:r>
      <w:hyperlink w:anchor="_Toc1144428" w:history="1">
        <w:r w:rsidR="00A75490" w:rsidRPr="002D4FD5">
          <w:rPr>
            <w:rStyle w:val="Hyperlink"/>
          </w:rPr>
          <w:t>Proposal 1</w:t>
        </w:r>
        <w:r w:rsidR="00A75490">
          <w:rPr>
            <w:rFonts w:asciiTheme="minorHAnsi" w:eastAsiaTheme="minorEastAsia" w:hAnsiTheme="minorHAnsi" w:cstheme="minorBidi"/>
            <w:b w:val="0"/>
            <w:sz w:val="22"/>
            <w:lang w:val="sv-SE" w:eastAsia="sv-SE"/>
          </w:rPr>
          <w:tab/>
        </w:r>
        <w:r w:rsidR="00A75490" w:rsidRPr="002D4FD5">
          <w:rPr>
            <w:rStyle w:val="Hyperlink"/>
          </w:rPr>
          <w:t>SRS transmission for CLI measurement purpose uses legacy timing advance</w:t>
        </w:r>
      </w:hyperlink>
    </w:p>
    <w:p w14:paraId="5CE9B8D4" w14:textId="56511FFC" w:rsidR="00A75490" w:rsidRDefault="00A75490">
      <w:pPr>
        <w:pStyle w:val="TOC1"/>
        <w:rPr>
          <w:rFonts w:asciiTheme="minorHAnsi" w:eastAsiaTheme="minorEastAsia" w:hAnsiTheme="minorHAnsi" w:cstheme="minorBidi"/>
          <w:b w:val="0"/>
          <w:sz w:val="22"/>
          <w:lang w:val="sv-SE" w:eastAsia="sv-SE"/>
        </w:rPr>
      </w:pPr>
      <w:hyperlink w:anchor="_Toc1144429" w:history="1">
        <w:r w:rsidRPr="002D4FD5">
          <w:rPr>
            <w:rStyle w:val="Hyperlink"/>
          </w:rPr>
          <w:t>Proposal 2</w:t>
        </w:r>
        <w:r>
          <w:rPr>
            <w:rFonts w:asciiTheme="minorHAnsi" w:eastAsiaTheme="minorEastAsia" w:hAnsiTheme="minorHAnsi" w:cstheme="minorBidi"/>
            <w:b w:val="0"/>
            <w:sz w:val="22"/>
            <w:lang w:val="sv-SE" w:eastAsia="sv-SE"/>
          </w:rPr>
          <w:tab/>
        </w:r>
        <w:r w:rsidRPr="002D4FD5">
          <w:rPr>
            <w:rStyle w:val="Hyperlink"/>
          </w:rPr>
          <w:t xml:space="preserve">For SRS-RSRP measurement, the measurement timing is offset with </w:t>
        </w:r>
        <m:oMath>
          <m:r>
            <m:rPr>
              <m:sty m:val="bi"/>
            </m:rPr>
            <w:rPr>
              <w:rStyle w:val="Hyperlink"/>
              <w:rFonts w:ascii="Cambria Math" w:hAnsi="Cambria Math"/>
            </w:rPr>
            <m:t>NTA,offsetTc</m:t>
          </m:r>
        </m:oMath>
        <w:r w:rsidRPr="002D4FD5">
          <w:rPr>
            <w:rStyle w:val="Hyperlink"/>
          </w:rPr>
          <w:t xml:space="preserve"> relative to its own DL receptions timing.</w:t>
        </w:r>
      </w:hyperlink>
    </w:p>
    <w:p w14:paraId="0D647941" w14:textId="4B275EB6" w:rsidR="00A75490" w:rsidRDefault="00A75490">
      <w:pPr>
        <w:pStyle w:val="TOC1"/>
        <w:rPr>
          <w:rFonts w:asciiTheme="minorHAnsi" w:eastAsiaTheme="minorEastAsia" w:hAnsiTheme="minorHAnsi" w:cstheme="minorBidi"/>
          <w:b w:val="0"/>
          <w:sz w:val="22"/>
          <w:lang w:val="sv-SE" w:eastAsia="sv-SE"/>
        </w:rPr>
      </w:pPr>
      <w:hyperlink w:anchor="_Toc1144430" w:history="1">
        <w:r w:rsidRPr="002D4FD5">
          <w:rPr>
            <w:rStyle w:val="Hyperlink"/>
          </w:rPr>
          <w:t>Proposal 3</w:t>
        </w:r>
        <w:r>
          <w:rPr>
            <w:rFonts w:asciiTheme="minorHAnsi" w:eastAsiaTheme="minorEastAsia" w:hAnsiTheme="minorHAnsi" w:cstheme="minorBidi"/>
            <w:b w:val="0"/>
            <w:sz w:val="22"/>
            <w:lang w:val="sv-SE" w:eastAsia="sv-SE"/>
          </w:rPr>
          <w:tab/>
        </w:r>
        <w:r w:rsidRPr="002D4FD5">
          <w:rPr>
            <w:rStyle w:val="Hyperlink"/>
          </w:rPr>
          <w:t xml:space="preserve">For SRS transmission for CLI measurement purpose, consider making SRS resource set configuration for sets with </w:t>
        </w:r>
        <w:r w:rsidRPr="002D4FD5">
          <w:rPr>
            <w:rStyle w:val="Hyperlink"/>
            <w:i/>
          </w:rPr>
          <w:t>usage</w:t>
        </w:r>
        <w:r w:rsidRPr="002D4FD5">
          <w:rPr>
            <w:rStyle w:val="Hyperlink"/>
          </w:rPr>
          <w:t>=</w:t>
        </w:r>
        <w:r w:rsidRPr="002D4FD5">
          <w:rPr>
            <w:rStyle w:val="Hyperlink"/>
            <w:i/>
          </w:rPr>
          <w:t xml:space="preserve">antenna switching/CSI acquisition </w:t>
        </w:r>
        <w:r w:rsidRPr="002D4FD5">
          <w:rPr>
            <w:rStyle w:val="Hyperlink"/>
          </w:rPr>
          <w:t xml:space="preserve">more flexible or introducing a new </w:t>
        </w:r>
        <w:r w:rsidRPr="002D4FD5">
          <w:rPr>
            <w:rStyle w:val="Hyperlink"/>
            <w:i/>
          </w:rPr>
          <w:t>generic</w:t>
        </w:r>
        <w:r w:rsidRPr="002D4FD5">
          <w:rPr>
            <w:rStyle w:val="Hyperlink"/>
          </w:rPr>
          <w:t xml:space="preserve"> SRS resource set </w:t>
        </w:r>
        <w:r w:rsidRPr="002D4FD5">
          <w:rPr>
            <w:rStyle w:val="Hyperlink"/>
            <w:i/>
          </w:rPr>
          <w:t>usage</w:t>
        </w:r>
      </w:hyperlink>
    </w:p>
    <w:p w14:paraId="628C7D17" w14:textId="24FD9EFE" w:rsidR="00A75490" w:rsidRDefault="00A75490">
      <w:pPr>
        <w:pStyle w:val="TOC1"/>
        <w:rPr>
          <w:rFonts w:asciiTheme="minorHAnsi" w:eastAsiaTheme="minorEastAsia" w:hAnsiTheme="minorHAnsi" w:cstheme="minorBidi"/>
          <w:b w:val="0"/>
          <w:sz w:val="22"/>
          <w:lang w:val="sv-SE" w:eastAsia="sv-SE"/>
        </w:rPr>
      </w:pPr>
      <w:hyperlink w:anchor="_Toc1144431" w:history="1">
        <w:r w:rsidRPr="002D4FD5">
          <w:rPr>
            <w:rStyle w:val="Hyperlink"/>
          </w:rPr>
          <w:t>Proposal 4</w:t>
        </w:r>
        <w:r>
          <w:rPr>
            <w:rFonts w:asciiTheme="minorHAnsi" w:eastAsiaTheme="minorEastAsia" w:hAnsiTheme="minorHAnsi" w:cstheme="minorBidi"/>
            <w:b w:val="0"/>
            <w:sz w:val="22"/>
            <w:lang w:val="sv-SE" w:eastAsia="sv-SE"/>
          </w:rPr>
          <w:tab/>
        </w:r>
        <w:r w:rsidRPr="002D4FD5">
          <w:rPr>
            <w:rStyle w:val="Hyperlink"/>
          </w:rPr>
          <w:t>No new PDSCH rate matching functionality is introduced for SRS for CLI measurement</w:t>
        </w:r>
      </w:hyperlink>
    </w:p>
    <w:p w14:paraId="42A7CA53" w14:textId="30D7B679" w:rsidR="00A75490" w:rsidRDefault="00A75490">
      <w:pPr>
        <w:pStyle w:val="TOC1"/>
        <w:rPr>
          <w:rFonts w:asciiTheme="minorHAnsi" w:eastAsiaTheme="minorEastAsia" w:hAnsiTheme="minorHAnsi" w:cstheme="minorBidi"/>
          <w:b w:val="0"/>
          <w:sz w:val="22"/>
          <w:lang w:val="sv-SE" w:eastAsia="sv-SE"/>
        </w:rPr>
      </w:pPr>
      <w:hyperlink w:anchor="_Toc1144432" w:history="1">
        <w:r w:rsidRPr="002D4FD5">
          <w:rPr>
            <w:rStyle w:val="Hyperlink"/>
          </w:rPr>
          <w:t>Proposal 5</w:t>
        </w:r>
        <w:r>
          <w:rPr>
            <w:rFonts w:asciiTheme="minorHAnsi" w:eastAsiaTheme="minorEastAsia" w:hAnsiTheme="minorHAnsi" w:cstheme="minorBidi"/>
            <w:b w:val="0"/>
            <w:sz w:val="22"/>
            <w:lang w:val="sv-SE" w:eastAsia="sv-SE"/>
          </w:rPr>
          <w:tab/>
        </w:r>
        <w:r w:rsidRPr="002D4FD5">
          <w:rPr>
            <w:rStyle w:val="Hyperlink"/>
          </w:rPr>
          <w:t>No further spec changes are needed to control Tx beam direction or PC parameters for SRS transmission for CLI measurement purpose</w:t>
        </w:r>
      </w:hyperlink>
    </w:p>
    <w:p w14:paraId="3A09AC5E" w14:textId="73AF75AD" w:rsidR="00A75490" w:rsidRDefault="00A75490">
      <w:pPr>
        <w:pStyle w:val="TOC1"/>
        <w:rPr>
          <w:rFonts w:asciiTheme="minorHAnsi" w:eastAsiaTheme="minorEastAsia" w:hAnsiTheme="minorHAnsi" w:cstheme="minorBidi"/>
          <w:b w:val="0"/>
          <w:sz w:val="22"/>
          <w:lang w:val="sv-SE" w:eastAsia="sv-SE"/>
        </w:rPr>
      </w:pPr>
      <w:hyperlink w:anchor="_Toc1144433" w:history="1">
        <w:r w:rsidRPr="002D4FD5">
          <w:rPr>
            <w:rStyle w:val="Hyperlink"/>
          </w:rPr>
          <w:t>Proposal 6</w:t>
        </w:r>
        <w:r>
          <w:rPr>
            <w:rFonts w:asciiTheme="minorHAnsi" w:eastAsiaTheme="minorEastAsia" w:hAnsiTheme="minorHAnsi" w:cstheme="minorBidi"/>
            <w:b w:val="0"/>
            <w:sz w:val="22"/>
            <w:lang w:val="sv-SE" w:eastAsia="sv-SE"/>
          </w:rPr>
          <w:tab/>
        </w:r>
        <w:r w:rsidRPr="002D4FD5">
          <w:rPr>
            <w:rStyle w:val="Hyperlink"/>
          </w:rPr>
          <w:t>Details on potential measurement relaxations are left for RAN4</w:t>
        </w:r>
      </w:hyperlink>
    </w:p>
    <w:p w14:paraId="4F34FAFD" w14:textId="18F454D1" w:rsidR="005704AC" w:rsidRPr="002D7B37" w:rsidRDefault="00FC7433" w:rsidP="005336DB">
      <w:pPr>
        <w:rPr>
          <w:lang w:val="en-US"/>
        </w:rPr>
      </w:pPr>
      <w:r>
        <w:rPr>
          <w:highlight w:val="yellow"/>
        </w:rPr>
        <w:fldChar w:fldCharType="end"/>
      </w:r>
      <w:bookmarkEnd w:id="15"/>
    </w:p>
    <w:p w14:paraId="0DEF49B4" w14:textId="7F840ECB" w:rsidR="0045141A" w:rsidRDefault="0026523C" w:rsidP="0026523C">
      <w:pPr>
        <w:pStyle w:val="Heading1"/>
      </w:pPr>
      <w:r>
        <w:t>References</w:t>
      </w:r>
    </w:p>
    <w:p w14:paraId="6D82B77E" w14:textId="6E925702" w:rsidR="001313A5" w:rsidRDefault="001313A5" w:rsidP="00FB52E2">
      <w:pPr>
        <w:pStyle w:val="Reference"/>
        <w:rPr>
          <w:rStyle w:val="Hyperlink"/>
          <w:color w:val="auto"/>
          <w:u w:val="none"/>
        </w:rPr>
      </w:pPr>
      <w:r>
        <w:t>Chairman’</w:t>
      </w:r>
      <w:r>
        <w:rPr>
          <w:rStyle w:val="Hyperlink"/>
          <w:color w:val="auto"/>
          <w:u w:val="none"/>
        </w:rPr>
        <w:t>s notes, RAN1 AH 1901, Taipei, Taiwan, 21</w:t>
      </w:r>
      <w:r w:rsidRPr="00CD31B9">
        <w:rPr>
          <w:rStyle w:val="Hyperlink"/>
          <w:color w:val="auto"/>
          <w:u w:val="none"/>
          <w:vertAlign w:val="superscript"/>
        </w:rPr>
        <w:t>st</w:t>
      </w:r>
      <w:r>
        <w:rPr>
          <w:rStyle w:val="Hyperlink"/>
          <w:color w:val="auto"/>
          <w:u w:val="none"/>
        </w:rPr>
        <w:t>-</w:t>
      </w:r>
      <w:r w:rsidR="0086389A">
        <w:rPr>
          <w:rStyle w:val="Hyperlink"/>
          <w:color w:val="auto"/>
          <w:u w:val="none"/>
        </w:rPr>
        <w:t>25</w:t>
      </w:r>
      <w:r w:rsidR="0086389A" w:rsidRPr="00CD31B9">
        <w:rPr>
          <w:rStyle w:val="Hyperlink"/>
          <w:color w:val="auto"/>
          <w:u w:val="none"/>
          <w:vertAlign w:val="superscript"/>
        </w:rPr>
        <w:t>th</w:t>
      </w:r>
      <w:r w:rsidR="0086389A">
        <w:rPr>
          <w:rStyle w:val="Hyperlink"/>
          <w:color w:val="auto"/>
          <w:u w:val="none"/>
        </w:rPr>
        <w:t xml:space="preserve"> January 2019</w:t>
      </w:r>
    </w:p>
    <w:p w14:paraId="6D4ED75D" w14:textId="6A0382AD" w:rsidR="005B5462" w:rsidRDefault="005B5462" w:rsidP="005B5462">
      <w:pPr>
        <w:pStyle w:val="Reference"/>
        <w:rPr>
          <w:rStyle w:val="Hyperlink"/>
          <w:color w:val="auto"/>
          <w:u w:val="none"/>
        </w:rPr>
      </w:pPr>
      <w:r w:rsidRPr="005B5462">
        <w:t>R1-1901374</w:t>
      </w:r>
      <w:r>
        <w:t>,</w:t>
      </w:r>
      <w:r w:rsidRPr="005B5462">
        <w:tab/>
      </w:r>
      <w:r>
        <w:t>“</w:t>
      </w:r>
      <w:r w:rsidRPr="005B5462">
        <w:t>Summary#3 of Issues on UE-UE CLI measurements and Network Coordination Mechanism</w:t>
      </w:r>
      <w:r>
        <w:t xml:space="preserve">”, </w:t>
      </w:r>
      <w:r w:rsidRPr="005B5462">
        <w:t>LG Electronics</w:t>
      </w:r>
      <w:r>
        <w:rPr>
          <w:rStyle w:val="Hyperlink"/>
          <w:color w:val="auto"/>
          <w:u w:val="none"/>
        </w:rPr>
        <w:t>, RAN1 AH 1901, Taipei, Taiwan, 21</w:t>
      </w:r>
      <w:r w:rsidRPr="00750369">
        <w:rPr>
          <w:rStyle w:val="Hyperlink"/>
          <w:color w:val="auto"/>
          <w:u w:val="none"/>
          <w:vertAlign w:val="superscript"/>
        </w:rPr>
        <w:t>st</w:t>
      </w:r>
      <w:r>
        <w:rPr>
          <w:rStyle w:val="Hyperlink"/>
          <w:color w:val="auto"/>
          <w:u w:val="none"/>
        </w:rPr>
        <w:t>-25</w:t>
      </w:r>
      <w:r w:rsidRPr="00750369">
        <w:rPr>
          <w:rStyle w:val="Hyperlink"/>
          <w:color w:val="auto"/>
          <w:u w:val="none"/>
          <w:vertAlign w:val="superscript"/>
        </w:rPr>
        <w:t>th</w:t>
      </w:r>
      <w:r>
        <w:rPr>
          <w:rStyle w:val="Hyperlink"/>
          <w:color w:val="auto"/>
          <w:u w:val="none"/>
        </w:rPr>
        <w:t xml:space="preserve"> January 2019</w:t>
      </w:r>
    </w:p>
    <w:p w14:paraId="53C23049" w14:textId="6CF1A4BE" w:rsidR="001313A5" w:rsidRPr="00E74601" w:rsidRDefault="001313A5" w:rsidP="00CD31B9">
      <w:pPr>
        <w:pStyle w:val="Reference"/>
        <w:numPr>
          <w:ilvl w:val="0"/>
          <w:numId w:val="0"/>
        </w:numPr>
      </w:pPr>
    </w:p>
    <w:p w14:paraId="53F5097C" w14:textId="77777777" w:rsidR="002919CD" w:rsidRPr="0005092A" w:rsidRDefault="002919CD" w:rsidP="00175052">
      <w:pPr>
        <w:pStyle w:val="Reference"/>
        <w:numPr>
          <w:ilvl w:val="0"/>
          <w:numId w:val="0"/>
        </w:numPr>
      </w:pPr>
    </w:p>
    <w:sectPr w:rsidR="002919CD" w:rsidRPr="0005092A" w:rsidSect="00C02A4C">
      <w:headerReference w:type="even" r:id="rId16"/>
      <w:footerReference w:type="defaul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5164E" w14:textId="77777777" w:rsidR="002359E2" w:rsidRDefault="002359E2">
      <w:r>
        <w:separator/>
      </w:r>
    </w:p>
  </w:endnote>
  <w:endnote w:type="continuationSeparator" w:id="0">
    <w:p w14:paraId="781509A9" w14:textId="77777777" w:rsidR="002359E2" w:rsidRDefault="002359E2">
      <w:r>
        <w:continuationSeparator/>
      </w:r>
    </w:p>
  </w:endnote>
  <w:endnote w:type="continuationNotice" w:id="1">
    <w:p w14:paraId="0BF0102F" w14:textId="77777777" w:rsidR="00FE19E7" w:rsidRDefault="00FE19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FD4D7D" w:rsidRDefault="00FD4D7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52A9B" w14:textId="77777777" w:rsidR="002359E2" w:rsidRDefault="002359E2">
      <w:r>
        <w:separator/>
      </w:r>
    </w:p>
  </w:footnote>
  <w:footnote w:type="continuationSeparator" w:id="0">
    <w:p w14:paraId="545F59D8" w14:textId="77777777" w:rsidR="002359E2" w:rsidRDefault="002359E2">
      <w:r>
        <w:continuationSeparator/>
      </w:r>
    </w:p>
  </w:footnote>
  <w:footnote w:type="continuationNotice" w:id="1">
    <w:p w14:paraId="385C17D6" w14:textId="77777777" w:rsidR="00FE19E7" w:rsidRDefault="00FE19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FD4D7D" w:rsidRDefault="00FD4D7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57EA340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7F00F7"/>
    <w:multiLevelType w:val="hybridMultilevel"/>
    <w:tmpl w:val="80469ACA"/>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107657"/>
    <w:multiLevelType w:val="hybridMultilevel"/>
    <w:tmpl w:val="FF5611C0"/>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81A20"/>
    <w:multiLevelType w:val="hybridMultilevel"/>
    <w:tmpl w:val="061C9BD2"/>
    <w:lvl w:ilvl="0" w:tplc="69EE32CA">
      <w:start w:val="1"/>
      <w:numFmt w:val="bullet"/>
      <w:lvlText w:val="—"/>
      <w:lvlJc w:val="left"/>
      <w:pPr>
        <w:tabs>
          <w:tab w:val="num" w:pos="927"/>
        </w:tabs>
        <w:ind w:left="927" w:hanging="360"/>
      </w:pPr>
      <w:rPr>
        <w:rFonts w:ascii="Ericsson Hilda Light" w:hAnsi="Ericsson Hilda Light" w:hint="default"/>
      </w:rPr>
    </w:lvl>
    <w:lvl w:ilvl="1" w:tplc="C6A66A6C">
      <w:start w:val="270"/>
      <w:numFmt w:val="bullet"/>
      <w:lvlText w:val="—"/>
      <w:lvlJc w:val="left"/>
      <w:pPr>
        <w:tabs>
          <w:tab w:val="num" w:pos="1647"/>
        </w:tabs>
        <w:ind w:left="1647" w:hanging="360"/>
      </w:pPr>
      <w:rPr>
        <w:rFonts w:ascii="Ericsson Hilda Light" w:hAnsi="Ericsson Hilda Light" w:hint="default"/>
      </w:rPr>
    </w:lvl>
    <w:lvl w:ilvl="2" w:tplc="4E581BDE">
      <w:start w:val="1"/>
      <w:numFmt w:val="bullet"/>
      <w:lvlText w:val="—"/>
      <w:lvlJc w:val="left"/>
      <w:pPr>
        <w:tabs>
          <w:tab w:val="num" w:pos="2367"/>
        </w:tabs>
        <w:ind w:left="2367" w:hanging="360"/>
      </w:pPr>
      <w:rPr>
        <w:rFonts w:ascii="Ericsson Hilda Light" w:hAnsi="Ericsson Hilda Light" w:hint="default"/>
      </w:rPr>
    </w:lvl>
    <w:lvl w:ilvl="3" w:tplc="89C6E1F2" w:tentative="1">
      <w:start w:val="1"/>
      <w:numFmt w:val="bullet"/>
      <w:lvlText w:val="—"/>
      <w:lvlJc w:val="left"/>
      <w:pPr>
        <w:tabs>
          <w:tab w:val="num" w:pos="3087"/>
        </w:tabs>
        <w:ind w:left="3087" w:hanging="360"/>
      </w:pPr>
      <w:rPr>
        <w:rFonts w:ascii="Ericsson Hilda Light" w:hAnsi="Ericsson Hilda Light" w:hint="default"/>
      </w:rPr>
    </w:lvl>
    <w:lvl w:ilvl="4" w:tplc="8DC43C0E" w:tentative="1">
      <w:start w:val="1"/>
      <w:numFmt w:val="bullet"/>
      <w:lvlText w:val="—"/>
      <w:lvlJc w:val="left"/>
      <w:pPr>
        <w:tabs>
          <w:tab w:val="num" w:pos="3807"/>
        </w:tabs>
        <w:ind w:left="3807" w:hanging="360"/>
      </w:pPr>
      <w:rPr>
        <w:rFonts w:ascii="Ericsson Hilda Light" w:hAnsi="Ericsson Hilda Light" w:hint="default"/>
      </w:rPr>
    </w:lvl>
    <w:lvl w:ilvl="5" w:tplc="59E86F94" w:tentative="1">
      <w:start w:val="1"/>
      <w:numFmt w:val="bullet"/>
      <w:lvlText w:val="—"/>
      <w:lvlJc w:val="left"/>
      <w:pPr>
        <w:tabs>
          <w:tab w:val="num" w:pos="4527"/>
        </w:tabs>
        <w:ind w:left="4527" w:hanging="360"/>
      </w:pPr>
      <w:rPr>
        <w:rFonts w:ascii="Ericsson Hilda Light" w:hAnsi="Ericsson Hilda Light" w:hint="default"/>
      </w:rPr>
    </w:lvl>
    <w:lvl w:ilvl="6" w:tplc="14B4941C" w:tentative="1">
      <w:start w:val="1"/>
      <w:numFmt w:val="bullet"/>
      <w:lvlText w:val="—"/>
      <w:lvlJc w:val="left"/>
      <w:pPr>
        <w:tabs>
          <w:tab w:val="num" w:pos="5247"/>
        </w:tabs>
        <w:ind w:left="5247" w:hanging="360"/>
      </w:pPr>
      <w:rPr>
        <w:rFonts w:ascii="Ericsson Hilda Light" w:hAnsi="Ericsson Hilda Light" w:hint="default"/>
      </w:rPr>
    </w:lvl>
    <w:lvl w:ilvl="7" w:tplc="91DE64E4" w:tentative="1">
      <w:start w:val="1"/>
      <w:numFmt w:val="bullet"/>
      <w:lvlText w:val="—"/>
      <w:lvlJc w:val="left"/>
      <w:pPr>
        <w:tabs>
          <w:tab w:val="num" w:pos="5967"/>
        </w:tabs>
        <w:ind w:left="5967" w:hanging="360"/>
      </w:pPr>
      <w:rPr>
        <w:rFonts w:ascii="Ericsson Hilda Light" w:hAnsi="Ericsson Hilda Light" w:hint="default"/>
      </w:rPr>
    </w:lvl>
    <w:lvl w:ilvl="8" w:tplc="DCC4E720" w:tentative="1">
      <w:start w:val="1"/>
      <w:numFmt w:val="bullet"/>
      <w:lvlText w:val="—"/>
      <w:lvlJc w:val="left"/>
      <w:pPr>
        <w:tabs>
          <w:tab w:val="num" w:pos="6687"/>
        </w:tabs>
        <w:ind w:left="6687" w:hanging="360"/>
      </w:pPr>
      <w:rPr>
        <w:rFonts w:ascii="Ericsson Hilda Light" w:hAnsi="Ericsson Hilda Light" w:hint="default"/>
      </w:rPr>
    </w:lvl>
  </w:abstractNum>
  <w:abstractNum w:abstractNumId="5" w15:restartNumberingAfterBreak="0">
    <w:nsid w:val="0EAB72BD"/>
    <w:multiLevelType w:val="hybridMultilevel"/>
    <w:tmpl w:val="8034DC3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A4E35DC"/>
    <w:multiLevelType w:val="hybridMultilevel"/>
    <w:tmpl w:val="5E9AA4EE"/>
    <w:lvl w:ilvl="0" w:tplc="D150A8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F5551ED"/>
    <w:multiLevelType w:val="hybridMultilevel"/>
    <w:tmpl w:val="65D4D58A"/>
    <w:lvl w:ilvl="0" w:tplc="6792A68A">
      <w:start w:val="6"/>
      <w:numFmt w:val="bullet"/>
      <w:lvlText w:val=""/>
      <w:lvlJc w:val="left"/>
      <w:pPr>
        <w:ind w:left="720" w:hanging="360"/>
      </w:pPr>
      <w:rPr>
        <w:rFonts w:ascii="Symbol" w:eastAsia="Batang"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E44E76"/>
    <w:multiLevelType w:val="hybridMultilevel"/>
    <w:tmpl w:val="D2327FF0"/>
    <w:lvl w:ilvl="0" w:tplc="1F38FCE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cs="Times New Roman" w:hint="default"/>
      </w:rPr>
    </w:lvl>
    <w:lvl w:ilvl="2" w:tplc="409E82E8">
      <w:numFmt w:val="bullet"/>
      <w:lvlText w:val=""/>
      <w:lvlJc w:val="left"/>
      <w:pPr>
        <w:tabs>
          <w:tab w:val="num" w:pos="2160"/>
        </w:tabs>
        <w:ind w:left="2160" w:hanging="360"/>
      </w:pPr>
      <w:rPr>
        <w:rFonts w:ascii="Wingdings" w:hAnsi="Wingdings" w:hint="default"/>
      </w:rPr>
    </w:lvl>
    <w:lvl w:ilvl="3" w:tplc="5DBA0B02">
      <w:start w:val="1"/>
      <w:numFmt w:val="bullet"/>
      <w:lvlText w:val=""/>
      <w:lvlJc w:val="left"/>
      <w:pPr>
        <w:tabs>
          <w:tab w:val="num" w:pos="2880"/>
        </w:tabs>
        <w:ind w:left="2880" w:hanging="360"/>
      </w:pPr>
      <w:rPr>
        <w:rFonts w:ascii="Wingdings" w:hAnsi="Wingdings" w:hint="default"/>
      </w:rPr>
    </w:lvl>
    <w:lvl w:ilvl="4" w:tplc="D052756E">
      <w:start w:val="1"/>
      <w:numFmt w:val="bullet"/>
      <w:lvlText w:val=""/>
      <w:lvlJc w:val="left"/>
      <w:pPr>
        <w:tabs>
          <w:tab w:val="num" w:pos="3600"/>
        </w:tabs>
        <w:ind w:left="3600" w:hanging="360"/>
      </w:pPr>
      <w:rPr>
        <w:rFonts w:ascii="Wingdings" w:hAnsi="Wingdings" w:hint="default"/>
      </w:rPr>
    </w:lvl>
    <w:lvl w:ilvl="5" w:tplc="9CD4DE88">
      <w:start w:val="1"/>
      <w:numFmt w:val="bullet"/>
      <w:lvlText w:val=""/>
      <w:lvlJc w:val="left"/>
      <w:pPr>
        <w:tabs>
          <w:tab w:val="num" w:pos="4320"/>
        </w:tabs>
        <w:ind w:left="4320" w:hanging="360"/>
      </w:pPr>
      <w:rPr>
        <w:rFonts w:ascii="Wingdings" w:hAnsi="Wingdings" w:hint="default"/>
      </w:rPr>
    </w:lvl>
    <w:lvl w:ilvl="6" w:tplc="C1322AB0">
      <w:start w:val="1"/>
      <w:numFmt w:val="bullet"/>
      <w:lvlText w:val=""/>
      <w:lvlJc w:val="left"/>
      <w:pPr>
        <w:tabs>
          <w:tab w:val="num" w:pos="5040"/>
        </w:tabs>
        <w:ind w:left="5040" w:hanging="360"/>
      </w:pPr>
      <w:rPr>
        <w:rFonts w:ascii="Wingdings" w:hAnsi="Wingdings" w:hint="default"/>
      </w:rPr>
    </w:lvl>
    <w:lvl w:ilvl="7" w:tplc="193A4186">
      <w:start w:val="1"/>
      <w:numFmt w:val="bullet"/>
      <w:lvlText w:val=""/>
      <w:lvlJc w:val="left"/>
      <w:pPr>
        <w:tabs>
          <w:tab w:val="num" w:pos="5760"/>
        </w:tabs>
        <w:ind w:left="5760" w:hanging="360"/>
      </w:pPr>
      <w:rPr>
        <w:rFonts w:ascii="Wingdings" w:hAnsi="Wingdings" w:hint="default"/>
      </w:rPr>
    </w:lvl>
    <w:lvl w:ilvl="8" w:tplc="0C0EC8D4">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B7A0060"/>
    <w:multiLevelType w:val="hybridMultilevel"/>
    <w:tmpl w:val="17E86934"/>
    <w:lvl w:ilvl="0" w:tplc="55620A0C">
      <w:start w:val="1"/>
      <w:numFmt w:val="bullet"/>
      <w:lvlText w:val="—"/>
      <w:lvlJc w:val="left"/>
      <w:pPr>
        <w:tabs>
          <w:tab w:val="num" w:pos="720"/>
        </w:tabs>
        <w:ind w:left="720" w:hanging="360"/>
      </w:pPr>
      <w:rPr>
        <w:rFonts w:ascii="Ericsson Hilda Light" w:hAnsi="Ericsson Hilda Light" w:hint="default"/>
      </w:rPr>
    </w:lvl>
    <w:lvl w:ilvl="1" w:tplc="AC34D6DC">
      <w:start w:val="1"/>
      <w:numFmt w:val="bullet"/>
      <w:lvlText w:val="—"/>
      <w:lvlJc w:val="left"/>
      <w:pPr>
        <w:tabs>
          <w:tab w:val="num" w:pos="1440"/>
        </w:tabs>
        <w:ind w:left="1440" w:hanging="360"/>
      </w:pPr>
      <w:rPr>
        <w:rFonts w:ascii="Ericsson Hilda Light" w:hAnsi="Ericsson Hilda Light" w:hint="default"/>
      </w:rPr>
    </w:lvl>
    <w:lvl w:ilvl="2" w:tplc="5114046A" w:tentative="1">
      <w:start w:val="1"/>
      <w:numFmt w:val="bullet"/>
      <w:lvlText w:val="—"/>
      <w:lvlJc w:val="left"/>
      <w:pPr>
        <w:tabs>
          <w:tab w:val="num" w:pos="2160"/>
        </w:tabs>
        <w:ind w:left="2160" w:hanging="360"/>
      </w:pPr>
      <w:rPr>
        <w:rFonts w:ascii="Ericsson Hilda Light" w:hAnsi="Ericsson Hilda Light" w:hint="default"/>
      </w:rPr>
    </w:lvl>
    <w:lvl w:ilvl="3" w:tplc="B57AAED4" w:tentative="1">
      <w:start w:val="1"/>
      <w:numFmt w:val="bullet"/>
      <w:lvlText w:val="—"/>
      <w:lvlJc w:val="left"/>
      <w:pPr>
        <w:tabs>
          <w:tab w:val="num" w:pos="2880"/>
        </w:tabs>
        <w:ind w:left="2880" w:hanging="360"/>
      </w:pPr>
      <w:rPr>
        <w:rFonts w:ascii="Ericsson Hilda Light" w:hAnsi="Ericsson Hilda Light" w:hint="default"/>
      </w:rPr>
    </w:lvl>
    <w:lvl w:ilvl="4" w:tplc="81AE6EFA" w:tentative="1">
      <w:start w:val="1"/>
      <w:numFmt w:val="bullet"/>
      <w:lvlText w:val="—"/>
      <w:lvlJc w:val="left"/>
      <w:pPr>
        <w:tabs>
          <w:tab w:val="num" w:pos="3600"/>
        </w:tabs>
        <w:ind w:left="3600" w:hanging="360"/>
      </w:pPr>
      <w:rPr>
        <w:rFonts w:ascii="Ericsson Hilda Light" w:hAnsi="Ericsson Hilda Light" w:hint="default"/>
      </w:rPr>
    </w:lvl>
    <w:lvl w:ilvl="5" w:tplc="CA64D6FA" w:tentative="1">
      <w:start w:val="1"/>
      <w:numFmt w:val="bullet"/>
      <w:lvlText w:val="—"/>
      <w:lvlJc w:val="left"/>
      <w:pPr>
        <w:tabs>
          <w:tab w:val="num" w:pos="4320"/>
        </w:tabs>
        <w:ind w:left="4320" w:hanging="360"/>
      </w:pPr>
      <w:rPr>
        <w:rFonts w:ascii="Ericsson Hilda Light" w:hAnsi="Ericsson Hilda Light" w:hint="default"/>
      </w:rPr>
    </w:lvl>
    <w:lvl w:ilvl="6" w:tplc="C22EE146" w:tentative="1">
      <w:start w:val="1"/>
      <w:numFmt w:val="bullet"/>
      <w:lvlText w:val="—"/>
      <w:lvlJc w:val="left"/>
      <w:pPr>
        <w:tabs>
          <w:tab w:val="num" w:pos="5040"/>
        </w:tabs>
        <w:ind w:left="5040" w:hanging="360"/>
      </w:pPr>
      <w:rPr>
        <w:rFonts w:ascii="Ericsson Hilda Light" w:hAnsi="Ericsson Hilda Light" w:hint="default"/>
      </w:rPr>
    </w:lvl>
    <w:lvl w:ilvl="7" w:tplc="F6E2D3F6" w:tentative="1">
      <w:start w:val="1"/>
      <w:numFmt w:val="bullet"/>
      <w:lvlText w:val="—"/>
      <w:lvlJc w:val="left"/>
      <w:pPr>
        <w:tabs>
          <w:tab w:val="num" w:pos="5760"/>
        </w:tabs>
        <w:ind w:left="5760" w:hanging="360"/>
      </w:pPr>
      <w:rPr>
        <w:rFonts w:ascii="Ericsson Hilda Light" w:hAnsi="Ericsson Hilda Light" w:hint="default"/>
      </w:rPr>
    </w:lvl>
    <w:lvl w:ilvl="8" w:tplc="0EB0EC6A"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6CF41A88"/>
    <w:multiLevelType w:val="hybridMultilevel"/>
    <w:tmpl w:val="C5BA2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
  </w:num>
  <w:num w:numId="2">
    <w:abstractNumId w:val="16"/>
  </w:num>
  <w:num w:numId="3">
    <w:abstractNumId w:val="10"/>
  </w:num>
  <w:num w:numId="4">
    <w:abstractNumId w:val="11"/>
  </w:num>
  <w:num w:numId="5">
    <w:abstractNumId w:val="7"/>
  </w:num>
  <w:num w:numId="6">
    <w:abstractNumId w:val="13"/>
  </w:num>
  <w:num w:numId="7">
    <w:abstractNumId w:val="18"/>
  </w:num>
  <w:num w:numId="8">
    <w:abstractNumId w:val="8"/>
  </w:num>
  <w:num w:numId="9">
    <w:abstractNumId w:val="17"/>
  </w:num>
  <w:num w:numId="10">
    <w:abstractNumId w:val="9"/>
  </w:num>
  <w:num w:numId="11">
    <w:abstractNumId w:val="20"/>
  </w:num>
  <w:num w:numId="12">
    <w:abstractNumId w:val="15"/>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1"/>
  </w:num>
  <w:num w:numId="15">
    <w:abstractNumId w:val="12"/>
  </w:num>
  <w:num w:numId="16">
    <w:abstractNumId w:val="23"/>
  </w:num>
  <w:num w:numId="17">
    <w:abstractNumId w:val="2"/>
  </w:num>
  <w:num w:numId="18">
    <w:abstractNumId w:val="14"/>
  </w:num>
  <w:num w:numId="19">
    <w:abstractNumId w:val="6"/>
  </w:num>
  <w:num w:numId="20">
    <w:abstractNumId w:val="4"/>
  </w:num>
  <w:num w:numId="21">
    <w:abstractNumId w:val="22"/>
  </w:num>
  <w:num w:numId="22">
    <w:abstractNumId w:val="19"/>
  </w:num>
  <w:num w:numId="23">
    <w:abstractNumId w:val="24"/>
  </w:num>
  <w:num w:numId="24">
    <w:abstractNumId w:val="3"/>
  </w:num>
  <w:num w:numId="2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1302"/>
    <w:rsid w:val="000025E0"/>
    <w:rsid w:val="00002953"/>
    <w:rsid w:val="00002A37"/>
    <w:rsid w:val="00003362"/>
    <w:rsid w:val="00003F5E"/>
    <w:rsid w:val="000048B8"/>
    <w:rsid w:val="00006446"/>
    <w:rsid w:val="00006512"/>
    <w:rsid w:val="00006896"/>
    <w:rsid w:val="0000736E"/>
    <w:rsid w:val="00007CDC"/>
    <w:rsid w:val="00011B28"/>
    <w:rsid w:val="000124DF"/>
    <w:rsid w:val="00012B1E"/>
    <w:rsid w:val="00013744"/>
    <w:rsid w:val="00015D15"/>
    <w:rsid w:val="00016285"/>
    <w:rsid w:val="00016613"/>
    <w:rsid w:val="00016F17"/>
    <w:rsid w:val="00017ECF"/>
    <w:rsid w:val="00021F7C"/>
    <w:rsid w:val="00022AD0"/>
    <w:rsid w:val="00022E0A"/>
    <w:rsid w:val="000245AB"/>
    <w:rsid w:val="00024CE0"/>
    <w:rsid w:val="0002564D"/>
    <w:rsid w:val="00025ECA"/>
    <w:rsid w:val="0002694F"/>
    <w:rsid w:val="00027643"/>
    <w:rsid w:val="00027F19"/>
    <w:rsid w:val="00030B30"/>
    <w:rsid w:val="000325B8"/>
    <w:rsid w:val="00033D52"/>
    <w:rsid w:val="00034521"/>
    <w:rsid w:val="00034C15"/>
    <w:rsid w:val="000357E6"/>
    <w:rsid w:val="00035802"/>
    <w:rsid w:val="00036BA1"/>
    <w:rsid w:val="000375C6"/>
    <w:rsid w:val="00040396"/>
    <w:rsid w:val="00040596"/>
    <w:rsid w:val="00042009"/>
    <w:rsid w:val="000421EF"/>
    <w:rsid w:val="000422E2"/>
    <w:rsid w:val="00042754"/>
    <w:rsid w:val="00042AE4"/>
    <w:rsid w:val="00042E89"/>
    <w:rsid w:val="00042EE5"/>
    <w:rsid w:val="00042F22"/>
    <w:rsid w:val="00043354"/>
    <w:rsid w:val="000444EF"/>
    <w:rsid w:val="00045AA3"/>
    <w:rsid w:val="000463ED"/>
    <w:rsid w:val="000466D5"/>
    <w:rsid w:val="0004749D"/>
    <w:rsid w:val="0005092A"/>
    <w:rsid w:val="00051235"/>
    <w:rsid w:val="00051C8D"/>
    <w:rsid w:val="00052A07"/>
    <w:rsid w:val="000534E3"/>
    <w:rsid w:val="000546DE"/>
    <w:rsid w:val="00054959"/>
    <w:rsid w:val="00054A0B"/>
    <w:rsid w:val="00054C55"/>
    <w:rsid w:val="0005606A"/>
    <w:rsid w:val="0005607A"/>
    <w:rsid w:val="0005682F"/>
    <w:rsid w:val="00057117"/>
    <w:rsid w:val="0005715F"/>
    <w:rsid w:val="00060465"/>
    <w:rsid w:val="00060DB1"/>
    <w:rsid w:val="0006128C"/>
    <w:rsid w:val="000616E7"/>
    <w:rsid w:val="000640B0"/>
    <w:rsid w:val="0006487E"/>
    <w:rsid w:val="000658AB"/>
    <w:rsid w:val="00065C9F"/>
    <w:rsid w:val="00065E1A"/>
    <w:rsid w:val="00065F67"/>
    <w:rsid w:val="00066AB6"/>
    <w:rsid w:val="00066BDA"/>
    <w:rsid w:val="00066F7E"/>
    <w:rsid w:val="00067139"/>
    <w:rsid w:val="0007089E"/>
    <w:rsid w:val="00071A7D"/>
    <w:rsid w:val="00071CAA"/>
    <w:rsid w:val="00071EA6"/>
    <w:rsid w:val="00072530"/>
    <w:rsid w:val="000735D1"/>
    <w:rsid w:val="000738D2"/>
    <w:rsid w:val="0007398C"/>
    <w:rsid w:val="000741A9"/>
    <w:rsid w:val="00074BEA"/>
    <w:rsid w:val="000753A5"/>
    <w:rsid w:val="000772CA"/>
    <w:rsid w:val="00077E5F"/>
    <w:rsid w:val="0008036A"/>
    <w:rsid w:val="00081AE6"/>
    <w:rsid w:val="00081EEA"/>
    <w:rsid w:val="00082BCB"/>
    <w:rsid w:val="00083A4F"/>
    <w:rsid w:val="00084AC4"/>
    <w:rsid w:val="000855EB"/>
    <w:rsid w:val="00085B52"/>
    <w:rsid w:val="000860BE"/>
    <w:rsid w:val="000866F2"/>
    <w:rsid w:val="00086DDC"/>
    <w:rsid w:val="0009009F"/>
    <w:rsid w:val="00091557"/>
    <w:rsid w:val="00091696"/>
    <w:rsid w:val="0009176C"/>
    <w:rsid w:val="000924C1"/>
    <w:rsid w:val="000924F0"/>
    <w:rsid w:val="00093316"/>
    <w:rsid w:val="00093474"/>
    <w:rsid w:val="00093C48"/>
    <w:rsid w:val="00094388"/>
    <w:rsid w:val="0009510F"/>
    <w:rsid w:val="00097F17"/>
    <w:rsid w:val="000A0001"/>
    <w:rsid w:val="000A05C1"/>
    <w:rsid w:val="000A0C20"/>
    <w:rsid w:val="000A119D"/>
    <w:rsid w:val="000A15BA"/>
    <w:rsid w:val="000A1B7B"/>
    <w:rsid w:val="000A2648"/>
    <w:rsid w:val="000A2B85"/>
    <w:rsid w:val="000A2B8C"/>
    <w:rsid w:val="000A4BC2"/>
    <w:rsid w:val="000A506D"/>
    <w:rsid w:val="000A56F2"/>
    <w:rsid w:val="000A604F"/>
    <w:rsid w:val="000A6F80"/>
    <w:rsid w:val="000A748D"/>
    <w:rsid w:val="000B1071"/>
    <w:rsid w:val="000B2139"/>
    <w:rsid w:val="000B2548"/>
    <w:rsid w:val="000B2719"/>
    <w:rsid w:val="000B2CFF"/>
    <w:rsid w:val="000B34A6"/>
    <w:rsid w:val="000B3A8F"/>
    <w:rsid w:val="000B3ABE"/>
    <w:rsid w:val="000B4AB9"/>
    <w:rsid w:val="000B58C3"/>
    <w:rsid w:val="000B61E9"/>
    <w:rsid w:val="000B6D5F"/>
    <w:rsid w:val="000B7B60"/>
    <w:rsid w:val="000C016A"/>
    <w:rsid w:val="000C165A"/>
    <w:rsid w:val="000C1AEB"/>
    <w:rsid w:val="000C25AD"/>
    <w:rsid w:val="000C2CC5"/>
    <w:rsid w:val="000C2E19"/>
    <w:rsid w:val="000C4377"/>
    <w:rsid w:val="000C456B"/>
    <w:rsid w:val="000C4C24"/>
    <w:rsid w:val="000C4E23"/>
    <w:rsid w:val="000C7518"/>
    <w:rsid w:val="000D0D07"/>
    <w:rsid w:val="000D0E7E"/>
    <w:rsid w:val="000D0F2B"/>
    <w:rsid w:val="000D13EA"/>
    <w:rsid w:val="000D1880"/>
    <w:rsid w:val="000D22B4"/>
    <w:rsid w:val="000D316F"/>
    <w:rsid w:val="000D3FD5"/>
    <w:rsid w:val="000D42E8"/>
    <w:rsid w:val="000D4797"/>
    <w:rsid w:val="000D60E3"/>
    <w:rsid w:val="000D6B2E"/>
    <w:rsid w:val="000E0527"/>
    <w:rsid w:val="000E1E92"/>
    <w:rsid w:val="000E77B8"/>
    <w:rsid w:val="000F06D6"/>
    <w:rsid w:val="000F0EB1"/>
    <w:rsid w:val="000F1106"/>
    <w:rsid w:val="000F2FDF"/>
    <w:rsid w:val="000F3409"/>
    <w:rsid w:val="000F3BE9"/>
    <w:rsid w:val="000F3F6C"/>
    <w:rsid w:val="000F47C6"/>
    <w:rsid w:val="000F4B4C"/>
    <w:rsid w:val="000F600C"/>
    <w:rsid w:val="000F6D00"/>
    <w:rsid w:val="000F6DF3"/>
    <w:rsid w:val="000F78DF"/>
    <w:rsid w:val="0010048B"/>
    <w:rsid w:val="001005FF"/>
    <w:rsid w:val="00101484"/>
    <w:rsid w:val="00101FEC"/>
    <w:rsid w:val="001023BF"/>
    <w:rsid w:val="0010429B"/>
    <w:rsid w:val="0010488A"/>
    <w:rsid w:val="00105379"/>
    <w:rsid w:val="00105978"/>
    <w:rsid w:val="001062FB"/>
    <w:rsid w:val="001063E6"/>
    <w:rsid w:val="001070C4"/>
    <w:rsid w:val="0010715B"/>
    <w:rsid w:val="00107EE9"/>
    <w:rsid w:val="00110458"/>
    <w:rsid w:val="001114D8"/>
    <w:rsid w:val="001118A8"/>
    <w:rsid w:val="001129FB"/>
    <w:rsid w:val="001133A2"/>
    <w:rsid w:val="00113CF4"/>
    <w:rsid w:val="00114001"/>
    <w:rsid w:val="001143BD"/>
    <w:rsid w:val="00114642"/>
    <w:rsid w:val="001153EA"/>
    <w:rsid w:val="00115643"/>
    <w:rsid w:val="00115ACE"/>
    <w:rsid w:val="00116765"/>
    <w:rsid w:val="001170AB"/>
    <w:rsid w:val="001171E8"/>
    <w:rsid w:val="00120B25"/>
    <w:rsid w:val="001219F5"/>
    <w:rsid w:val="00121A20"/>
    <w:rsid w:val="00122095"/>
    <w:rsid w:val="0012268A"/>
    <w:rsid w:val="001228EC"/>
    <w:rsid w:val="0012320A"/>
    <w:rsid w:val="0012377F"/>
    <w:rsid w:val="00124314"/>
    <w:rsid w:val="00125A95"/>
    <w:rsid w:val="00126B27"/>
    <w:rsid w:val="00126B4A"/>
    <w:rsid w:val="00126B73"/>
    <w:rsid w:val="00127A16"/>
    <w:rsid w:val="0013013F"/>
    <w:rsid w:val="00130FE5"/>
    <w:rsid w:val="001313A5"/>
    <w:rsid w:val="00132DB3"/>
    <w:rsid w:val="00132FD0"/>
    <w:rsid w:val="001343DB"/>
    <w:rsid w:val="001344C0"/>
    <w:rsid w:val="001346FA"/>
    <w:rsid w:val="00134B7E"/>
    <w:rsid w:val="00135252"/>
    <w:rsid w:val="00137AB5"/>
    <w:rsid w:val="00137BBC"/>
    <w:rsid w:val="00137F0B"/>
    <w:rsid w:val="00140153"/>
    <w:rsid w:val="00140491"/>
    <w:rsid w:val="001425D4"/>
    <w:rsid w:val="00142E84"/>
    <w:rsid w:val="00143862"/>
    <w:rsid w:val="00145654"/>
    <w:rsid w:val="00146A8C"/>
    <w:rsid w:val="00146A8F"/>
    <w:rsid w:val="00151734"/>
    <w:rsid w:val="00151E23"/>
    <w:rsid w:val="001526E0"/>
    <w:rsid w:val="001529C3"/>
    <w:rsid w:val="0015373E"/>
    <w:rsid w:val="00154707"/>
    <w:rsid w:val="00154834"/>
    <w:rsid w:val="001551B5"/>
    <w:rsid w:val="001557F8"/>
    <w:rsid w:val="00155922"/>
    <w:rsid w:val="001561AC"/>
    <w:rsid w:val="00156F56"/>
    <w:rsid w:val="00157158"/>
    <w:rsid w:val="001578B2"/>
    <w:rsid w:val="00161351"/>
    <w:rsid w:val="00162339"/>
    <w:rsid w:val="001625FC"/>
    <w:rsid w:val="0016289D"/>
    <w:rsid w:val="00162F87"/>
    <w:rsid w:val="001636EC"/>
    <w:rsid w:val="0016384B"/>
    <w:rsid w:val="001659C1"/>
    <w:rsid w:val="0017041B"/>
    <w:rsid w:val="001723FD"/>
    <w:rsid w:val="0017253E"/>
    <w:rsid w:val="00172D9D"/>
    <w:rsid w:val="001731F8"/>
    <w:rsid w:val="00173A8E"/>
    <w:rsid w:val="00174111"/>
    <w:rsid w:val="001742B8"/>
    <w:rsid w:val="00175052"/>
    <w:rsid w:val="0017553F"/>
    <w:rsid w:val="00175F81"/>
    <w:rsid w:val="00176408"/>
    <w:rsid w:val="00177249"/>
    <w:rsid w:val="00177B76"/>
    <w:rsid w:val="00180081"/>
    <w:rsid w:val="00180281"/>
    <w:rsid w:val="0018097D"/>
    <w:rsid w:val="00180D3E"/>
    <w:rsid w:val="001812ED"/>
    <w:rsid w:val="0018143F"/>
    <w:rsid w:val="0018160B"/>
    <w:rsid w:val="001821D7"/>
    <w:rsid w:val="00182CA8"/>
    <w:rsid w:val="001837B6"/>
    <w:rsid w:val="001838EB"/>
    <w:rsid w:val="00183DD3"/>
    <w:rsid w:val="001843F7"/>
    <w:rsid w:val="00184B0A"/>
    <w:rsid w:val="00185550"/>
    <w:rsid w:val="00185587"/>
    <w:rsid w:val="00186516"/>
    <w:rsid w:val="00186702"/>
    <w:rsid w:val="00187A2E"/>
    <w:rsid w:val="00190AC1"/>
    <w:rsid w:val="0019341A"/>
    <w:rsid w:val="0019508A"/>
    <w:rsid w:val="00196C4D"/>
    <w:rsid w:val="00197DF9"/>
    <w:rsid w:val="001A0FCE"/>
    <w:rsid w:val="001A1987"/>
    <w:rsid w:val="001A2564"/>
    <w:rsid w:val="001A2F2B"/>
    <w:rsid w:val="001A43E7"/>
    <w:rsid w:val="001A504F"/>
    <w:rsid w:val="001A5A8A"/>
    <w:rsid w:val="001A5DB2"/>
    <w:rsid w:val="001A5E55"/>
    <w:rsid w:val="001A6072"/>
    <w:rsid w:val="001A6173"/>
    <w:rsid w:val="001A6CBA"/>
    <w:rsid w:val="001A75E8"/>
    <w:rsid w:val="001B03F3"/>
    <w:rsid w:val="001B0D97"/>
    <w:rsid w:val="001B3648"/>
    <w:rsid w:val="001B3B05"/>
    <w:rsid w:val="001B4C09"/>
    <w:rsid w:val="001B4C61"/>
    <w:rsid w:val="001B5A5D"/>
    <w:rsid w:val="001B6C05"/>
    <w:rsid w:val="001B7403"/>
    <w:rsid w:val="001C1CE5"/>
    <w:rsid w:val="001C3615"/>
    <w:rsid w:val="001C3D2A"/>
    <w:rsid w:val="001C3FC0"/>
    <w:rsid w:val="001C41A3"/>
    <w:rsid w:val="001C47BD"/>
    <w:rsid w:val="001C6830"/>
    <w:rsid w:val="001C68DB"/>
    <w:rsid w:val="001C6D57"/>
    <w:rsid w:val="001D0996"/>
    <w:rsid w:val="001D2576"/>
    <w:rsid w:val="001D2F2E"/>
    <w:rsid w:val="001D3EA9"/>
    <w:rsid w:val="001D4B47"/>
    <w:rsid w:val="001D51BA"/>
    <w:rsid w:val="001D5604"/>
    <w:rsid w:val="001D56AE"/>
    <w:rsid w:val="001D6342"/>
    <w:rsid w:val="001D6D53"/>
    <w:rsid w:val="001D752F"/>
    <w:rsid w:val="001D7C7F"/>
    <w:rsid w:val="001E0DEF"/>
    <w:rsid w:val="001E17A8"/>
    <w:rsid w:val="001E239C"/>
    <w:rsid w:val="001E2560"/>
    <w:rsid w:val="001E3B2B"/>
    <w:rsid w:val="001E3BCD"/>
    <w:rsid w:val="001E5176"/>
    <w:rsid w:val="001E58E2"/>
    <w:rsid w:val="001E633E"/>
    <w:rsid w:val="001E67BC"/>
    <w:rsid w:val="001E7AED"/>
    <w:rsid w:val="001F06E2"/>
    <w:rsid w:val="001F15AB"/>
    <w:rsid w:val="001F1BEF"/>
    <w:rsid w:val="001F2DB2"/>
    <w:rsid w:val="001F36BE"/>
    <w:rsid w:val="001F3916"/>
    <w:rsid w:val="001F3985"/>
    <w:rsid w:val="001F4E61"/>
    <w:rsid w:val="001F54C5"/>
    <w:rsid w:val="001F5D72"/>
    <w:rsid w:val="001F662C"/>
    <w:rsid w:val="001F7074"/>
    <w:rsid w:val="00200019"/>
    <w:rsid w:val="00200490"/>
    <w:rsid w:val="0020103F"/>
    <w:rsid w:val="0020131E"/>
    <w:rsid w:val="00201C98"/>
    <w:rsid w:val="00201F3A"/>
    <w:rsid w:val="00202B4F"/>
    <w:rsid w:val="00202C8B"/>
    <w:rsid w:val="00203CD0"/>
    <w:rsid w:val="00203F96"/>
    <w:rsid w:val="002067A0"/>
    <w:rsid w:val="002069B2"/>
    <w:rsid w:val="00207161"/>
    <w:rsid w:val="0020797E"/>
    <w:rsid w:val="00207EDB"/>
    <w:rsid w:val="00207FA3"/>
    <w:rsid w:val="00210B90"/>
    <w:rsid w:val="002116C8"/>
    <w:rsid w:val="002119D2"/>
    <w:rsid w:val="0021211C"/>
    <w:rsid w:val="00212E34"/>
    <w:rsid w:val="00212E3B"/>
    <w:rsid w:val="00213513"/>
    <w:rsid w:val="002147E5"/>
    <w:rsid w:val="00214DA8"/>
    <w:rsid w:val="00215423"/>
    <w:rsid w:val="002158FA"/>
    <w:rsid w:val="0021627C"/>
    <w:rsid w:val="00216FE0"/>
    <w:rsid w:val="00217193"/>
    <w:rsid w:val="00217242"/>
    <w:rsid w:val="0021725C"/>
    <w:rsid w:val="002179E1"/>
    <w:rsid w:val="00220465"/>
    <w:rsid w:val="00220600"/>
    <w:rsid w:val="00220DD8"/>
    <w:rsid w:val="00221874"/>
    <w:rsid w:val="002224DB"/>
    <w:rsid w:val="00223113"/>
    <w:rsid w:val="002234AE"/>
    <w:rsid w:val="00223FCB"/>
    <w:rsid w:val="002252C3"/>
    <w:rsid w:val="00225C54"/>
    <w:rsid w:val="00230765"/>
    <w:rsid w:val="0023134E"/>
    <w:rsid w:val="002319E4"/>
    <w:rsid w:val="00233A9F"/>
    <w:rsid w:val="00234CA0"/>
    <w:rsid w:val="00235632"/>
    <w:rsid w:val="00235872"/>
    <w:rsid w:val="002359E2"/>
    <w:rsid w:val="0023728E"/>
    <w:rsid w:val="00237294"/>
    <w:rsid w:val="00240462"/>
    <w:rsid w:val="00241559"/>
    <w:rsid w:val="0024327B"/>
    <w:rsid w:val="002435B3"/>
    <w:rsid w:val="002451ED"/>
    <w:rsid w:val="002455B0"/>
    <w:rsid w:val="002458EB"/>
    <w:rsid w:val="002462D4"/>
    <w:rsid w:val="002465C9"/>
    <w:rsid w:val="00247B69"/>
    <w:rsid w:val="00247BE8"/>
    <w:rsid w:val="00247E38"/>
    <w:rsid w:val="002500C8"/>
    <w:rsid w:val="00251916"/>
    <w:rsid w:val="0025232C"/>
    <w:rsid w:val="00255C48"/>
    <w:rsid w:val="0025636D"/>
    <w:rsid w:val="0025693D"/>
    <w:rsid w:val="00256A27"/>
    <w:rsid w:val="00257543"/>
    <w:rsid w:val="0025767C"/>
    <w:rsid w:val="00257BC5"/>
    <w:rsid w:val="00260624"/>
    <w:rsid w:val="002606E9"/>
    <w:rsid w:val="002611E7"/>
    <w:rsid w:val="002617E7"/>
    <w:rsid w:val="002628A4"/>
    <w:rsid w:val="00262D37"/>
    <w:rsid w:val="00262F9B"/>
    <w:rsid w:val="00264228"/>
    <w:rsid w:val="00264334"/>
    <w:rsid w:val="002644DE"/>
    <w:rsid w:val="0026473E"/>
    <w:rsid w:val="002650C6"/>
    <w:rsid w:val="0026523C"/>
    <w:rsid w:val="00265BA8"/>
    <w:rsid w:val="00266214"/>
    <w:rsid w:val="00266850"/>
    <w:rsid w:val="00267824"/>
    <w:rsid w:val="00267C83"/>
    <w:rsid w:val="0027144F"/>
    <w:rsid w:val="00271803"/>
    <w:rsid w:val="00271813"/>
    <w:rsid w:val="00271F3A"/>
    <w:rsid w:val="00272322"/>
    <w:rsid w:val="00273278"/>
    <w:rsid w:val="002737F4"/>
    <w:rsid w:val="00274276"/>
    <w:rsid w:val="00274EE6"/>
    <w:rsid w:val="00277CB7"/>
    <w:rsid w:val="002805F5"/>
    <w:rsid w:val="00280751"/>
    <w:rsid w:val="00280A61"/>
    <w:rsid w:val="00280F79"/>
    <w:rsid w:val="0028280A"/>
    <w:rsid w:val="00282D77"/>
    <w:rsid w:val="00283179"/>
    <w:rsid w:val="00283ADC"/>
    <w:rsid w:val="0028505D"/>
    <w:rsid w:val="0028632D"/>
    <w:rsid w:val="00286390"/>
    <w:rsid w:val="0028691E"/>
    <w:rsid w:val="00286ACD"/>
    <w:rsid w:val="00287838"/>
    <w:rsid w:val="00287886"/>
    <w:rsid w:val="00287A3D"/>
    <w:rsid w:val="002907B5"/>
    <w:rsid w:val="00290808"/>
    <w:rsid w:val="002919CD"/>
    <w:rsid w:val="0029224C"/>
    <w:rsid w:val="002923FC"/>
    <w:rsid w:val="00292EB7"/>
    <w:rsid w:val="00293647"/>
    <w:rsid w:val="00293EE2"/>
    <w:rsid w:val="00294021"/>
    <w:rsid w:val="002952C0"/>
    <w:rsid w:val="00296227"/>
    <w:rsid w:val="00296F44"/>
    <w:rsid w:val="0029777D"/>
    <w:rsid w:val="002A055E"/>
    <w:rsid w:val="002A1364"/>
    <w:rsid w:val="002A1D4E"/>
    <w:rsid w:val="002A2869"/>
    <w:rsid w:val="002A3080"/>
    <w:rsid w:val="002A42F1"/>
    <w:rsid w:val="002A4F9F"/>
    <w:rsid w:val="002A7FA2"/>
    <w:rsid w:val="002B0168"/>
    <w:rsid w:val="002B0850"/>
    <w:rsid w:val="002B1994"/>
    <w:rsid w:val="002B1A1F"/>
    <w:rsid w:val="002B1EFF"/>
    <w:rsid w:val="002B24D6"/>
    <w:rsid w:val="002B26F8"/>
    <w:rsid w:val="002B3A9C"/>
    <w:rsid w:val="002B5A3D"/>
    <w:rsid w:val="002B6176"/>
    <w:rsid w:val="002B7EBD"/>
    <w:rsid w:val="002C0280"/>
    <w:rsid w:val="002C0B86"/>
    <w:rsid w:val="002C1610"/>
    <w:rsid w:val="002C2A25"/>
    <w:rsid w:val="002C2DC4"/>
    <w:rsid w:val="002C41E6"/>
    <w:rsid w:val="002C486E"/>
    <w:rsid w:val="002C4C1D"/>
    <w:rsid w:val="002C4CEA"/>
    <w:rsid w:val="002C4D7A"/>
    <w:rsid w:val="002C6300"/>
    <w:rsid w:val="002C6EC9"/>
    <w:rsid w:val="002C74EB"/>
    <w:rsid w:val="002D071A"/>
    <w:rsid w:val="002D0C56"/>
    <w:rsid w:val="002D133C"/>
    <w:rsid w:val="002D34B2"/>
    <w:rsid w:val="002D43C7"/>
    <w:rsid w:val="002D5A9A"/>
    <w:rsid w:val="002D645A"/>
    <w:rsid w:val="002D7637"/>
    <w:rsid w:val="002D7B37"/>
    <w:rsid w:val="002E093B"/>
    <w:rsid w:val="002E17F2"/>
    <w:rsid w:val="002E4B33"/>
    <w:rsid w:val="002E4DA3"/>
    <w:rsid w:val="002E5B7A"/>
    <w:rsid w:val="002E6401"/>
    <w:rsid w:val="002E72A7"/>
    <w:rsid w:val="002E7CAE"/>
    <w:rsid w:val="002F0294"/>
    <w:rsid w:val="002F063B"/>
    <w:rsid w:val="002F0C55"/>
    <w:rsid w:val="002F10A6"/>
    <w:rsid w:val="002F1969"/>
    <w:rsid w:val="002F1D9B"/>
    <w:rsid w:val="002F2771"/>
    <w:rsid w:val="002F2FE8"/>
    <w:rsid w:val="002F37A9"/>
    <w:rsid w:val="002F3AE7"/>
    <w:rsid w:val="002F47F6"/>
    <w:rsid w:val="002F48AD"/>
    <w:rsid w:val="002F6288"/>
    <w:rsid w:val="002F70B4"/>
    <w:rsid w:val="002F7566"/>
    <w:rsid w:val="00300553"/>
    <w:rsid w:val="003006AF"/>
    <w:rsid w:val="00301CE6"/>
    <w:rsid w:val="0030256B"/>
    <w:rsid w:val="0030501F"/>
    <w:rsid w:val="00305213"/>
    <w:rsid w:val="003054FD"/>
    <w:rsid w:val="00305D4D"/>
    <w:rsid w:val="0030628D"/>
    <w:rsid w:val="00307BA1"/>
    <w:rsid w:val="00310195"/>
    <w:rsid w:val="003103FD"/>
    <w:rsid w:val="003108CC"/>
    <w:rsid w:val="00310B3F"/>
    <w:rsid w:val="00310DE0"/>
    <w:rsid w:val="00311702"/>
    <w:rsid w:val="00311E82"/>
    <w:rsid w:val="00312851"/>
    <w:rsid w:val="00312E33"/>
    <w:rsid w:val="00313470"/>
    <w:rsid w:val="00313FD6"/>
    <w:rsid w:val="003143BD"/>
    <w:rsid w:val="003144ED"/>
    <w:rsid w:val="00315B12"/>
    <w:rsid w:val="00315BF2"/>
    <w:rsid w:val="00315DCF"/>
    <w:rsid w:val="0031684E"/>
    <w:rsid w:val="00317982"/>
    <w:rsid w:val="003203ED"/>
    <w:rsid w:val="003203F9"/>
    <w:rsid w:val="003212B8"/>
    <w:rsid w:val="00321A94"/>
    <w:rsid w:val="00321FEC"/>
    <w:rsid w:val="00322C9F"/>
    <w:rsid w:val="00322F83"/>
    <w:rsid w:val="003239F3"/>
    <w:rsid w:val="003241B7"/>
    <w:rsid w:val="00324D23"/>
    <w:rsid w:val="003257D6"/>
    <w:rsid w:val="0032713F"/>
    <w:rsid w:val="00327997"/>
    <w:rsid w:val="00331751"/>
    <w:rsid w:val="00331846"/>
    <w:rsid w:val="00331B7B"/>
    <w:rsid w:val="00334579"/>
    <w:rsid w:val="00335858"/>
    <w:rsid w:val="00335D33"/>
    <w:rsid w:val="00336014"/>
    <w:rsid w:val="00336BDA"/>
    <w:rsid w:val="003411EB"/>
    <w:rsid w:val="003416BB"/>
    <w:rsid w:val="00341900"/>
    <w:rsid w:val="00341F41"/>
    <w:rsid w:val="00341FEB"/>
    <w:rsid w:val="0034283B"/>
    <w:rsid w:val="00342BD7"/>
    <w:rsid w:val="00344A6E"/>
    <w:rsid w:val="00344F6C"/>
    <w:rsid w:val="00345B62"/>
    <w:rsid w:val="0034698D"/>
    <w:rsid w:val="00346DB5"/>
    <w:rsid w:val="00346E10"/>
    <w:rsid w:val="00347233"/>
    <w:rsid w:val="003474E4"/>
    <w:rsid w:val="003477B1"/>
    <w:rsid w:val="00351429"/>
    <w:rsid w:val="003532EF"/>
    <w:rsid w:val="0035361E"/>
    <w:rsid w:val="0035474F"/>
    <w:rsid w:val="00355ECD"/>
    <w:rsid w:val="00356A14"/>
    <w:rsid w:val="00356AB8"/>
    <w:rsid w:val="00357380"/>
    <w:rsid w:val="003602D9"/>
    <w:rsid w:val="003604CE"/>
    <w:rsid w:val="0036056F"/>
    <w:rsid w:val="00360A9B"/>
    <w:rsid w:val="00361500"/>
    <w:rsid w:val="00362946"/>
    <w:rsid w:val="00363B5D"/>
    <w:rsid w:val="00364E64"/>
    <w:rsid w:val="0036691C"/>
    <w:rsid w:val="00370046"/>
    <w:rsid w:val="00370E47"/>
    <w:rsid w:val="003713A5"/>
    <w:rsid w:val="003716E6"/>
    <w:rsid w:val="00373AEC"/>
    <w:rsid w:val="003742AC"/>
    <w:rsid w:val="00374ADB"/>
    <w:rsid w:val="003771FE"/>
    <w:rsid w:val="003773A8"/>
    <w:rsid w:val="003773D1"/>
    <w:rsid w:val="0037798D"/>
    <w:rsid w:val="00377CE1"/>
    <w:rsid w:val="00377CF9"/>
    <w:rsid w:val="003802D7"/>
    <w:rsid w:val="00380BA4"/>
    <w:rsid w:val="00381272"/>
    <w:rsid w:val="003812CF"/>
    <w:rsid w:val="00385BF0"/>
    <w:rsid w:val="00386FE5"/>
    <w:rsid w:val="003904DB"/>
    <w:rsid w:val="003939FF"/>
    <w:rsid w:val="003941EA"/>
    <w:rsid w:val="003945B5"/>
    <w:rsid w:val="003947C2"/>
    <w:rsid w:val="0039536D"/>
    <w:rsid w:val="00395435"/>
    <w:rsid w:val="00395647"/>
    <w:rsid w:val="00395C96"/>
    <w:rsid w:val="00396589"/>
    <w:rsid w:val="00396C17"/>
    <w:rsid w:val="00396D7D"/>
    <w:rsid w:val="00396F7A"/>
    <w:rsid w:val="00397E79"/>
    <w:rsid w:val="003A0B31"/>
    <w:rsid w:val="003A0E41"/>
    <w:rsid w:val="003A1D63"/>
    <w:rsid w:val="003A2223"/>
    <w:rsid w:val="003A246A"/>
    <w:rsid w:val="003A26C7"/>
    <w:rsid w:val="003A2A0F"/>
    <w:rsid w:val="003A300B"/>
    <w:rsid w:val="003A45A1"/>
    <w:rsid w:val="003A49B9"/>
    <w:rsid w:val="003A4A33"/>
    <w:rsid w:val="003A5B0A"/>
    <w:rsid w:val="003A6BAC"/>
    <w:rsid w:val="003A7649"/>
    <w:rsid w:val="003A7EF3"/>
    <w:rsid w:val="003B159C"/>
    <w:rsid w:val="003B1AF6"/>
    <w:rsid w:val="003B2549"/>
    <w:rsid w:val="003B25C3"/>
    <w:rsid w:val="003B369F"/>
    <w:rsid w:val="003B36A3"/>
    <w:rsid w:val="003B3B1E"/>
    <w:rsid w:val="003B7283"/>
    <w:rsid w:val="003B7FE5"/>
    <w:rsid w:val="003C11C8"/>
    <w:rsid w:val="003C1FCD"/>
    <w:rsid w:val="003C214E"/>
    <w:rsid w:val="003C2702"/>
    <w:rsid w:val="003C2945"/>
    <w:rsid w:val="003C3069"/>
    <w:rsid w:val="003C385B"/>
    <w:rsid w:val="003C4989"/>
    <w:rsid w:val="003C4F0A"/>
    <w:rsid w:val="003C4F2A"/>
    <w:rsid w:val="003C5348"/>
    <w:rsid w:val="003C5855"/>
    <w:rsid w:val="003C59FC"/>
    <w:rsid w:val="003C6597"/>
    <w:rsid w:val="003C6886"/>
    <w:rsid w:val="003C6A62"/>
    <w:rsid w:val="003C6E5D"/>
    <w:rsid w:val="003C72A3"/>
    <w:rsid w:val="003C7806"/>
    <w:rsid w:val="003D064E"/>
    <w:rsid w:val="003D0C86"/>
    <w:rsid w:val="003D109F"/>
    <w:rsid w:val="003D1650"/>
    <w:rsid w:val="003D16F3"/>
    <w:rsid w:val="003D2275"/>
    <w:rsid w:val="003D2478"/>
    <w:rsid w:val="003D3C45"/>
    <w:rsid w:val="003D3E76"/>
    <w:rsid w:val="003D4098"/>
    <w:rsid w:val="003D4A8C"/>
    <w:rsid w:val="003D5B1F"/>
    <w:rsid w:val="003D6300"/>
    <w:rsid w:val="003E15FA"/>
    <w:rsid w:val="003E22B5"/>
    <w:rsid w:val="003E264E"/>
    <w:rsid w:val="003E391F"/>
    <w:rsid w:val="003E3B3D"/>
    <w:rsid w:val="003E55E4"/>
    <w:rsid w:val="003E694E"/>
    <w:rsid w:val="003E74E3"/>
    <w:rsid w:val="003E7670"/>
    <w:rsid w:val="003F05C7"/>
    <w:rsid w:val="003F0D1F"/>
    <w:rsid w:val="003F1A14"/>
    <w:rsid w:val="003F1C23"/>
    <w:rsid w:val="003F2CD4"/>
    <w:rsid w:val="003F304B"/>
    <w:rsid w:val="003F362C"/>
    <w:rsid w:val="003F3705"/>
    <w:rsid w:val="003F3A68"/>
    <w:rsid w:val="003F428A"/>
    <w:rsid w:val="003F4499"/>
    <w:rsid w:val="003F5163"/>
    <w:rsid w:val="003F51FA"/>
    <w:rsid w:val="003F6BBE"/>
    <w:rsid w:val="003F6F56"/>
    <w:rsid w:val="003F738A"/>
    <w:rsid w:val="004000E8"/>
    <w:rsid w:val="00400881"/>
    <w:rsid w:val="004014F6"/>
    <w:rsid w:val="004015D6"/>
    <w:rsid w:val="00401769"/>
    <w:rsid w:val="00402348"/>
    <w:rsid w:val="00402492"/>
    <w:rsid w:val="004028B2"/>
    <w:rsid w:val="00402DF3"/>
    <w:rsid w:val="00402E2B"/>
    <w:rsid w:val="004031FC"/>
    <w:rsid w:val="004033B5"/>
    <w:rsid w:val="004034B0"/>
    <w:rsid w:val="004037D7"/>
    <w:rsid w:val="0040397B"/>
    <w:rsid w:val="00403D6A"/>
    <w:rsid w:val="004050EA"/>
    <w:rsid w:val="0040512B"/>
    <w:rsid w:val="00405B7A"/>
    <w:rsid w:val="00405CA5"/>
    <w:rsid w:val="00406B06"/>
    <w:rsid w:val="00407CD3"/>
    <w:rsid w:val="00410134"/>
    <w:rsid w:val="00410367"/>
    <w:rsid w:val="00410B72"/>
    <w:rsid w:val="00410F18"/>
    <w:rsid w:val="0041263E"/>
    <w:rsid w:val="00412DB6"/>
    <w:rsid w:val="00413444"/>
    <w:rsid w:val="00413A23"/>
    <w:rsid w:val="00413AAC"/>
    <w:rsid w:val="00413E92"/>
    <w:rsid w:val="0041424B"/>
    <w:rsid w:val="004148D8"/>
    <w:rsid w:val="004148F1"/>
    <w:rsid w:val="00415649"/>
    <w:rsid w:val="004172DE"/>
    <w:rsid w:val="00417541"/>
    <w:rsid w:val="00417F94"/>
    <w:rsid w:val="00420735"/>
    <w:rsid w:val="00421105"/>
    <w:rsid w:val="004230AE"/>
    <w:rsid w:val="00423403"/>
    <w:rsid w:val="004237F6"/>
    <w:rsid w:val="00423839"/>
    <w:rsid w:val="004242F4"/>
    <w:rsid w:val="00427248"/>
    <w:rsid w:val="00430ACB"/>
    <w:rsid w:val="00430E8C"/>
    <w:rsid w:val="00432153"/>
    <w:rsid w:val="0043226F"/>
    <w:rsid w:val="004329F3"/>
    <w:rsid w:val="00433A3F"/>
    <w:rsid w:val="00435F56"/>
    <w:rsid w:val="0043620E"/>
    <w:rsid w:val="00436599"/>
    <w:rsid w:val="004372CE"/>
    <w:rsid w:val="00437447"/>
    <w:rsid w:val="00437BF6"/>
    <w:rsid w:val="0044017F"/>
    <w:rsid w:val="004410C7"/>
    <w:rsid w:val="00441782"/>
    <w:rsid w:val="00441A92"/>
    <w:rsid w:val="00442622"/>
    <w:rsid w:val="00442717"/>
    <w:rsid w:val="00442BC4"/>
    <w:rsid w:val="004431FE"/>
    <w:rsid w:val="004435A9"/>
    <w:rsid w:val="00443F68"/>
    <w:rsid w:val="00444E58"/>
    <w:rsid w:val="00444F56"/>
    <w:rsid w:val="00446488"/>
    <w:rsid w:val="004469DC"/>
    <w:rsid w:val="0044723D"/>
    <w:rsid w:val="0044746B"/>
    <w:rsid w:val="00447699"/>
    <w:rsid w:val="00447DE1"/>
    <w:rsid w:val="00450201"/>
    <w:rsid w:val="00450817"/>
    <w:rsid w:val="00450B45"/>
    <w:rsid w:val="00450DD3"/>
    <w:rsid w:val="0045141A"/>
    <w:rsid w:val="004517AA"/>
    <w:rsid w:val="00452AAC"/>
    <w:rsid w:val="00452CAC"/>
    <w:rsid w:val="0045382A"/>
    <w:rsid w:val="00453967"/>
    <w:rsid w:val="00454581"/>
    <w:rsid w:val="004552F9"/>
    <w:rsid w:val="004559F0"/>
    <w:rsid w:val="00456545"/>
    <w:rsid w:val="00456BE1"/>
    <w:rsid w:val="00457300"/>
    <w:rsid w:val="00457565"/>
    <w:rsid w:val="00457B71"/>
    <w:rsid w:val="0046024B"/>
    <w:rsid w:val="004628E9"/>
    <w:rsid w:val="00465ABC"/>
    <w:rsid w:val="00465E70"/>
    <w:rsid w:val="004663A6"/>
    <w:rsid w:val="004669E2"/>
    <w:rsid w:val="00466AD6"/>
    <w:rsid w:val="00470C31"/>
    <w:rsid w:val="00471D25"/>
    <w:rsid w:val="0047299D"/>
    <w:rsid w:val="004734D0"/>
    <w:rsid w:val="00473A06"/>
    <w:rsid w:val="00473E8E"/>
    <w:rsid w:val="004743EE"/>
    <w:rsid w:val="00475296"/>
    <w:rsid w:val="0047556B"/>
    <w:rsid w:val="00475DD4"/>
    <w:rsid w:val="004768C8"/>
    <w:rsid w:val="00476C25"/>
    <w:rsid w:val="00477313"/>
    <w:rsid w:val="00477768"/>
    <w:rsid w:val="00477AF2"/>
    <w:rsid w:val="00477B73"/>
    <w:rsid w:val="00477CA9"/>
    <w:rsid w:val="00477ECC"/>
    <w:rsid w:val="00481584"/>
    <w:rsid w:val="00481B5C"/>
    <w:rsid w:val="004825FE"/>
    <w:rsid w:val="004831AF"/>
    <w:rsid w:val="00483C1D"/>
    <w:rsid w:val="00485FFC"/>
    <w:rsid w:val="00490A9C"/>
    <w:rsid w:val="00491011"/>
    <w:rsid w:val="00492BC5"/>
    <w:rsid w:val="00492D24"/>
    <w:rsid w:val="00493116"/>
    <w:rsid w:val="00494846"/>
    <w:rsid w:val="004960A3"/>
    <w:rsid w:val="004964F1"/>
    <w:rsid w:val="00496BAD"/>
    <w:rsid w:val="00496F74"/>
    <w:rsid w:val="0049791D"/>
    <w:rsid w:val="004A0B10"/>
    <w:rsid w:val="004A1056"/>
    <w:rsid w:val="004A1060"/>
    <w:rsid w:val="004A16BC"/>
    <w:rsid w:val="004A16F4"/>
    <w:rsid w:val="004A1E12"/>
    <w:rsid w:val="004A2296"/>
    <w:rsid w:val="004A25D3"/>
    <w:rsid w:val="004A2B94"/>
    <w:rsid w:val="004A347A"/>
    <w:rsid w:val="004A3BE8"/>
    <w:rsid w:val="004A5269"/>
    <w:rsid w:val="004A5B39"/>
    <w:rsid w:val="004B01B7"/>
    <w:rsid w:val="004B09EB"/>
    <w:rsid w:val="004B28E2"/>
    <w:rsid w:val="004B306B"/>
    <w:rsid w:val="004B368B"/>
    <w:rsid w:val="004B67D6"/>
    <w:rsid w:val="004B718B"/>
    <w:rsid w:val="004B7C0C"/>
    <w:rsid w:val="004B7CF3"/>
    <w:rsid w:val="004C36AD"/>
    <w:rsid w:val="004C3898"/>
    <w:rsid w:val="004C445F"/>
    <w:rsid w:val="004C6069"/>
    <w:rsid w:val="004C6795"/>
    <w:rsid w:val="004C7E3A"/>
    <w:rsid w:val="004D022B"/>
    <w:rsid w:val="004D06EE"/>
    <w:rsid w:val="004D24C5"/>
    <w:rsid w:val="004D36B1"/>
    <w:rsid w:val="004D4507"/>
    <w:rsid w:val="004D4CDD"/>
    <w:rsid w:val="004D4D88"/>
    <w:rsid w:val="004D5974"/>
    <w:rsid w:val="004D59EF"/>
    <w:rsid w:val="004D60BD"/>
    <w:rsid w:val="004D7C2B"/>
    <w:rsid w:val="004D7EBD"/>
    <w:rsid w:val="004E0476"/>
    <w:rsid w:val="004E0C60"/>
    <w:rsid w:val="004E246C"/>
    <w:rsid w:val="004E2680"/>
    <w:rsid w:val="004E28F9"/>
    <w:rsid w:val="004E3206"/>
    <w:rsid w:val="004E462E"/>
    <w:rsid w:val="004E56DC"/>
    <w:rsid w:val="004E6A85"/>
    <w:rsid w:val="004E76F4"/>
    <w:rsid w:val="004F0293"/>
    <w:rsid w:val="004F032D"/>
    <w:rsid w:val="004F0B4E"/>
    <w:rsid w:val="004F0B6C"/>
    <w:rsid w:val="004F14E5"/>
    <w:rsid w:val="004F17A6"/>
    <w:rsid w:val="004F19A8"/>
    <w:rsid w:val="004F2078"/>
    <w:rsid w:val="004F3002"/>
    <w:rsid w:val="004F3344"/>
    <w:rsid w:val="004F368A"/>
    <w:rsid w:val="004F4459"/>
    <w:rsid w:val="004F4670"/>
    <w:rsid w:val="004F46ED"/>
    <w:rsid w:val="004F4DA3"/>
    <w:rsid w:val="004F53FD"/>
    <w:rsid w:val="004F662B"/>
    <w:rsid w:val="004F6CB9"/>
    <w:rsid w:val="004F728D"/>
    <w:rsid w:val="00501C20"/>
    <w:rsid w:val="00501C33"/>
    <w:rsid w:val="0050241D"/>
    <w:rsid w:val="00505760"/>
    <w:rsid w:val="0050591F"/>
    <w:rsid w:val="00506557"/>
    <w:rsid w:val="0050677A"/>
    <w:rsid w:val="0050681B"/>
    <w:rsid w:val="00506B06"/>
    <w:rsid w:val="005108CD"/>
    <w:rsid w:val="005108D8"/>
    <w:rsid w:val="00511236"/>
    <w:rsid w:val="005116F9"/>
    <w:rsid w:val="00511BFE"/>
    <w:rsid w:val="00512306"/>
    <w:rsid w:val="00513646"/>
    <w:rsid w:val="0051436A"/>
    <w:rsid w:val="005153A7"/>
    <w:rsid w:val="0051656B"/>
    <w:rsid w:val="00517215"/>
    <w:rsid w:val="00517FA4"/>
    <w:rsid w:val="005219CF"/>
    <w:rsid w:val="00521DF1"/>
    <w:rsid w:val="00522461"/>
    <w:rsid w:val="00522D6A"/>
    <w:rsid w:val="0052439B"/>
    <w:rsid w:val="0052472F"/>
    <w:rsid w:val="005255FF"/>
    <w:rsid w:val="00526226"/>
    <w:rsid w:val="005336DB"/>
    <w:rsid w:val="00534726"/>
    <w:rsid w:val="00534755"/>
    <w:rsid w:val="00534B59"/>
    <w:rsid w:val="00534E6D"/>
    <w:rsid w:val="00534F5D"/>
    <w:rsid w:val="0053594E"/>
    <w:rsid w:val="00536695"/>
    <w:rsid w:val="00536759"/>
    <w:rsid w:val="00536D7D"/>
    <w:rsid w:val="00537C62"/>
    <w:rsid w:val="00537F09"/>
    <w:rsid w:val="00540C40"/>
    <w:rsid w:val="005426E0"/>
    <w:rsid w:val="0054282F"/>
    <w:rsid w:val="00544FB7"/>
    <w:rsid w:val="00545062"/>
    <w:rsid w:val="0054545E"/>
    <w:rsid w:val="0054568B"/>
    <w:rsid w:val="0054616C"/>
    <w:rsid w:val="00546774"/>
    <w:rsid w:val="00546970"/>
    <w:rsid w:val="00546EE8"/>
    <w:rsid w:val="00550442"/>
    <w:rsid w:val="00554192"/>
    <w:rsid w:val="005547BF"/>
    <w:rsid w:val="005549AF"/>
    <w:rsid w:val="00554D21"/>
    <w:rsid w:val="00554E19"/>
    <w:rsid w:val="00555386"/>
    <w:rsid w:val="00557197"/>
    <w:rsid w:val="005607C6"/>
    <w:rsid w:val="0056121F"/>
    <w:rsid w:val="00561DAC"/>
    <w:rsid w:val="00562320"/>
    <w:rsid w:val="00562529"/>
    <w:rsid w:val="005627B2"/>
    <w:rsid w:val="005630FF"/>
    <w:rsid w:val="00563DB8"/>
    <w:rsid w:val="00565404"/>
    <w:rsid w:val="00567295"/>
    <w:rsid w:val="005704AC"/>
    <w:rsid w:val="00570FA1"/>
    <w:rsid w:val="00571C73"/>
    <w:rsid w:val="00572505"/>
    <w:rsid w:val="0057253F"/>
    <w:rsid w:val="00572FA4"/>
    <w:rsid w:val="005734E3"/>
    <w:rsid w:val="00573920"/>
    <w:rsid w:val="00573C3B"/>
    <w:rsid w:val="00573CFD"/>
    <w:rsid w:val="00573D3D"/>
    <w:rsid w:val="00574527"/>
    <w:rsid w:val="00574D6F"/>
    <w:rsid w:val="0057587A"/>
    <w:rsid w:val="00575901"/>
    <w:rsid w:val="00575A3E"/>
    <w:rsid w:val="00575D33"/>
    <w:rsid w:val="00575DA6"/>
    <w:rsid w:val="00575E9A"/>
    <w:rsid w:val="00576FB0"/>
    <w:rsid w:val="00580413"/>
    <w:rsid w:val="005808EF"/>
    <w:rsid w:val="00580C77"/>
    <w:rsid w:val="00580D44"/>
    <w:rsid w:val="0058119C"/>
    <w:rsid w:val="005814C6"/>
    <w:rsid w:val="00581606"/>
    <w:rsid w:val="00582446"/>
    <w:rsid w:val="005825E5"/>
    <w:rsid w:val="00582809"/>
    <w:rsid w:val="00582E5A"/>
    <w:rsid w:val="00583098"/>
    <w:rsid w:val="00583334"/>
    <w:rsid w:val="005837DC"/>
    <w:rsid w:val="00583B33"/>
    <w:rsid w:val="00583C4F"/>
    <w:rsid w:val="00583D71"/>
    <w:rsid w:val="00584951"/>
    <w:rsid w:val="0058798C"/>
    <w:rsid w:val="00587C89"/>
    <w:rsid w:val="005900FA"/>
    <w:rsid w:val="00591389"/>
    <w:rsid w:val="00591418"/>
    <w:rsid w:val="005920B8"/>
    <w:rsid w:val="00592A06"/>
    <w:rsid w:val="00592B54"/>
    <w:rsid w:val="005935A4"/>
    <w:rsid w:val="0059400F"/>
    <w:rsid w:val="005948C2"/>
    <w:rsid w:val="005953D5"/>
    <w:rsid w:val="00595DCA"/>
    <w:rsid w:val="00596CB3"/>
    <w:rsid w:val="0059774B"/>
    <w:rsid w:val="0059779B"/>
    <w:rsid w:val="005A062E"/>
    <w:rsid w:val="005A0957"/>
    <w:rsid w:val="005A0B8C"/>
    <w:rsid w:val="005A209A"/>
    <w:rsid w:val="005A28ED"/>
    <w:rsid w:val="005A29A0"/>
    <w:rsid w:val="005A2A5C"/>
    <w:rsid w:val="005A42BB"/>
    <w:rsid w:val="005A5DD4"/>
    <w:rsid w:val="005A60A3"/>
    <w:rsid w:val="005A662D"/>
    <w:rsid w:val="005A67B4"/>
    <w:rsid w:val="005A7736"/>
    <w:rsid w:val="005B1993"/>
    <w:rsid w:val="005B20AF"/>
    <w:rsid w:val="005B241D"/>
    <w:rsid w:val="005B2606"/>
    <w:rsid w:val="005B2A20"/>
    <w:rsid w:val="005B35D7"/>
    <w:rsid w:val="005B392A"/>
    <w:rsid w:val="005B3AA3"/>
    <w:rsid w:val="005B46B3"/>
    <w:rsid w:val="005B4BD9"/>
    <w:rsid w:val="005B4D3D"/>
    <w:rsid w:val="005B5462"/>
    <w:rsid w:val="005B6549"/>
    <w:rsid w:val="005B6DAD"/>
    <w:rsid w:val="005B6F83"/>
    <w:rsid w:val="005B71AE"/>
    <w:rsid w:val="005C03D2"/>
    <w:rsid w:val="005C26BD"/>
    <w:rsid w:val="005C2D75"/>
    <w:rsid w:val="005C2ECC"/>
    <w:rsid w:val="005C376B"/>
    <w:rsid w:val="005C39B0"/>
    <w:rsid w:val="005C3A4D"/>
    <w:rsid w:val="005C5459"/>
    <w:rsid w:val="005C6403"/>
    <w:rsid w:val="005C74FB"/>
    <w:rsid w:val="005C75F9"/>
    <w:rsid w:val="005C7D9B"/>
    <w:rsid w:val="005D1165"/>
    <w:rsid w:val="005D1602"/>
    <w:rsid w:val="005D1746"/>
    <w:rsid w:val="005D321A"/>
    <w:rsid w:val="005D5882"/>
    <w:rsid w:val="005D5A0C"/>
    <w:rsid w:val="005E0C95"/>
    <w:rsid w:val="005E0D87"/>
    <w:rsid w:val="005E1404"/>
    <w:rsid w:val="005E385F"/>
    <w:rsid w:val="005E4B93"/>
    <w:rsid w:val="005E5A0F"/>
    <w:rsid w:val="005E5B81"/>
    <w:rsid w:val="005E65EC"/>
    <w:rsid w:val="005E6E38"/>
    <w:rsid w:val="005E7B07"/>
    <w:rsid w:val="005F1EF4"/>
    <w:rsid w:val="005F2CB1"/>
    <w:rsid w:val="005F3025"/>
    <w:rsid w:val="005F30F6"/>
    <w:rsid w:val="005F3F21"/>
    <w:rsid w:val="005F3F57"/>
    <w:rsid w:val="005F48B0"/>
    <w:rsid w:val="005F618C"/>
    <w:rsid w:val="005F6CA6"/>
    <w:rsid w:val="005F6CFF"/>
    <w:rsid w:val="005F70BD"/>
    <w:rsid w:val="0060040B"/>
    <w:rsid w:val="006017F6"/>
    <w:rsid w:val="0060283C"/>
    <w:rsid w:val="00604023"/>
    <w:rsid w:val="006047FE"/>
    <w:rsid w:val="00604CA9"/>
    <w:rsid w:val="00604F14"/>
    <w:rsid w:val="006069F5"/>
    <w:rsid w:val="00607B3F"/>
    <w:rsid w:val="00610252"/>
    <w:rsid w:val="0061060D"/>
    <w:rsid w:val="00610ABA"/>
    <w:rsid w:val="00611B83"/>
    <w:rsid w:val="006123CC"/>
    <w:rsid w:val="00613257"/>
    <w:rsid w:val="00614936"/>
    <w:rsid w:val="00614EBF"/>
    <w:rsid w:val="00615D33"/>
    <w:rsid w:val="00615DD1"/>
    <w:rsid w:val="0061675B"/>
    <w:rsid w:val="00617D79"/>
    <w:rsid w:val="00617F7E"/>
    <w:rsid w:val="00620A71"/>
    <w:rsid w:val="00620D80"/>
    <w:rsid w:val="006215E9"/>
    <w:rsid w:val="006223D1"/>
    <w:rsid w:val="00622A45"/>
    <w:rsid w:val="006234A6"/>
    <w:rsid w:val="006234DE"/>
    <w:rsid w:val="00624A4C"/>
    <w:rsid w:val="00625742"/>
    <w:rsid w:val="006274AC"/>
    <w:rsid w:val="00627514"/>
    <w:rsid w:val="006278D1"/>
    <w:rsid w:val="00627E93"/>
    <w:rsid w:val="00630001"/>
    <w:rsid w:val="006311B3"/>
    <w:rsid w:val="00631541"/>
    <w:rsid w:val="00631EF2"/>
    <w:rsid w:val="0063284C"/>
    <w:rsid w:val="006333A0"/>
    <w:rsid w:val="00633699"/>
    <w:rsid w:val="00635C00"/>
    <w:rsid w:val="00635F3B"/>
    <w:rsid w:val="00636398"/>
    <w:rsid w:val="00636748"/>
    <w:rsid w:val="006368D3"/>
    <w:rsid w:val="00636A88"/>
    <w:rsid w:val="006377EC"/>
    <w:rsid w:val="00637953"/>
    <w:rsid w:val="00640F3B"/>
    <w:rsid w:val="0064151F"/>
    <w:rsid w:val="00641533"/>
    <w:rsid w:val="0064184C"/>
    <w:rsid w:val="00641C39"/>
    <w:rsid w:val="0064208D"/>
    <w:rsid w:val="00643475"/>
    <w:rsid w:val="0064396A"/>
    <w:rsid w:val="006452FD"/>
    <w:rsid w:val="0064624E"/>
    <w:rsid w:val="0064649F"/>
    <w:rsid w:val="0064679A"/>
    <w:rsid w:val="00650556"/>
    <w:rsid w:val="00650AB9"/>
    <w:rsid w:val="00651053"/>
    <w:rsid w:val="00654112"/>
    <w:rsid w:val="00654EB4"/>
    <w:rsid w:val="00655733"/>
    <w:rsid w:val="00655AAC"/>
    <w:rsid w:val="00655ACD"/>
    <w:rsid w:val="00656A92"/>
    <w:rsid w:val="00656DDE"/>
    <w:rsid w:val="006576CA"/>
    <w:rsid w:val="0066011D"/>
    <w:rsid w:val="006607C0"/>
    <w:rsid w:val="00660A16"/>
    <w:rsid w:val="006613A6"/>
    <w:rsid w:val="00662051"/>
    <w:rsid w:val="006627A2"/>
    <w:rsid w:val="006634E6"/>
    <w:rsid w:val="00663A78"/>
    <w:rsid w:val="006655EE"/>
    <w:rsid w:val="00665D97"/>
    <w:rsid w:val="00665FFC"/>
    <w:rsid w:val="0066661C"/>
    <w:rsid w:val="00666B33"/>
    <w:rsid w:val="00666D19"/>
    <w:rsid w:val="00667EE7"/>
    <w:rsid w:val="00670922"/>
    <w:rsid w:val="00670BE1"/>
    <w:rsid w:val="00671339"/>
    <w:rsid w:val="006716FB"/>
    <w:rsid w:val="006717F0"/>
    <w:rsid w:val="00671B77"/>
    <w:rsid w:val="0067218F"/>
    <w:rsid w:val="00672D95"/>
    <w:rsid w:val="0067401E"/>
    <w:rsid w:val="006741F2"/>
    <w:rsid w:val="00674CC3"/>
    <w:rsid w:val="00675C72"/>
    <w:rsid w:val="00675D7D"/>
    <w:rsid w:val="006771F9"/>
    <w:rsid w:val="006776D7"/>
    <w:rsid w:val="006778AC"/>
    <w:rsid w:val="00680FE2"/>
    <w:rsid w:val="00681003"/>
    <w:rsid w:val="006817C9"/>
    <w:rsid w:val="00681F05"/>
    <w:rsid w:val="00683424"/>
    <w:rsid w:val="006839CB"/>
    <w:rsid w:val="00683ECE"/>
    <w:rsid w:val="00686B2C"/>
    <w:rsid w:val="00687BA5"/>
    <w:rsid w:val="006902EF"/>
    <w:rsid w:val="0069067C"/>
    <w:rsid w:val="0069160A"/>
    <w:rsid w:val="00694722"/>
    <w:rsid w:val="00695126"/>
    <w:rsid w:val="006951A6"/>
    <w:rsid w:val="00695FC2"/>
    <w:rsid w:val="00696949"/>
    <w:rsid w:val="00696DED"/>
    <w:rsid w:val="00697052"/>
    <w:rsid w:val="00697A4D"/>
    <w:rsid w:val="006A0D2E"/>
    <w:rsid w:val="006A2028"/>
    <w:rsid w:val="006A46FB"/>
    <w:rsid w:val="006A4DA7"/>
    <w:rsid w:val="006A59D8"/>
    <w:rsid w:val="006A5E28"/>
    <w:rsid w:val="006A6585"/>
    <w:rsid w:val="006A66D2"/>
    <w:rsid w:val="006A697B"/>
    <w:rsid w:val="006A6D27"/>
    <w:rsid w:val="006A79B7"/>
    <w:rsid w:val="006A7AFF"/>
    <w:rsid w:val="006A7CE6"/>
    <w:rsid w:val="006B0F56"/>
    <w:rsid w:val="006B1816"/>
    <w:rsid w:val="006B1E2A"/>
    <w:rsid w:val="006B2099"/>
    <w:rsid w:val="006B29FD"/>
    <w:rsid w:val="006B2DC1"/>
    <w:rsid w:val="006B305D"/>
    <w:rsid w:val="006B30FB"/>
    <w:rsid w:val="006B40B9"/>
    <w:rsid w:val="006B50CF"/>
    <w:rsid w:val="006B5317"/>
    <w:rsid w:val="006B717E"/>
    <w:rsid w:val="006B7B17"/>
    <w:rsid w:val="006B7C04"/>
    <w:rsid w:val="006C03B8"/>
    <w:rsid w:val="006C06CA"/>
    <w:rsid w:val="006C0F0E"/>
    <w:rsid w:val="006C1A82"/>
    <w:rsid w:val="006C1AE8"/>
    <w:rsid w:val="006C26EE"/>
    <w:rsid w:val="006C4EF3"/>
    <w:rsid w:val="006C524B"/>
    <w:rsid w:val="006C5EC9"/>
    <w:rsid w:val="006C6059"/>
    <w:rsid w:val="006C6DC1"/>
    <w:rsid w:val="006C7522"/>
    <w:rsid w:val="006D0117"/>
    <w:rsid w:val="006D07BD"/>
    <w:rsid w:val="006D10EC"/>
    <w:rsid w:val="006D21ED"/>
    <w:rsid w:val="006D27AF"/>
    <w:rsid w:val="006D3809"/>
    <w:rsid w:val="006D401F"/>
    <w:rsid w:val="006D554A"/>
    <w:rsid w:val="006D6301"/>
    <w:rsid w:val="006D63F0"/>
    <w:rsid w:val="006D6F08"/>
    <w:rsid w:val="006D71ED"/>
    <w:rsid w:val="006E062C"/>
    <w:rsid w:val="006E07C0"/>
    <w:rsid w:val="006E1511"/>
    <w:rsid w:val="006E1514"/>
    <w:rsid w:val="006E173C"/>
    <w:rsid w:val="006E18CD"/>
    <w:rsid w:val="006E2288"/>
    <w:rsid w:val="006E28B7"/>
    <w:rsid w:val="006E28C1"/>
    <w:rsid w:val="006E3310"/>
    <w:rsid w:val="006E34FF"/>
    <w:rsid w:val="006E354A"/>
    <w:rsid w:val="006E4E39"/>
    <w:rsid w:val="006E4EED"/>
    <w:rsid w:val="006E565E"/>
    <w:rsid w:val="006E5706"/>
    <w:rsid w:val="006E5A43"/>
    <w:rsid w:val="006E5C6A"/>
    <w:rsid w:val="006E673D"/>
    <w:rsid w:val="006E6F50"/>
    <w:rsid w:val="006E7549"/>
    <w:rsid w:val="006E76A3"/>
    <w:rsid w:val="006E7D3B"/>
    <w:rsid w:val="006E7E2C"/>
    <w:rsid w:val="006F0C95"/>
    <w:rsid w:val="006F1B70"/>
    <w:rsid w:val="006F2499"/>
    <w:rsid w:val="006F341D"/>
    <w:rsid w:val="006F36DE"/>
    <w:rsid w:val="006F3CDE"/>
    <w:rsid w:val="006F4107"/>
    <w:rsid w:val="006F58D4"/>
    <w:rsid w:val="006F651E"/>
    <w:rsid w:val="006F7B2C"/>
    <w:rsid w:val="0070162B"/>
    <w:rsid w:val="00701DCE"/>
    <w:rsid w:val="0070255B"/>
    <w:rsid w:val="0070346E"/>
    <w:rsid w:val="00703692"/>
    <w:rsid w:val="007036F0"/>
    <w:rsid w:val="00704EDB"/>
    <w:rsid w:val="00705832"/>
    <w:rsid w:val="00706101"/>
    <w:rsid w:val="007061A2"/>
    <w:rsid w:val="00707072"/>
    <w:rsid w:val="007073E8"/>
    <w:rsid w:val="00707D61"/>
    <w:rsid w:val="007106BB"/>
    <w:rsid w:val="00710781"/>
    <w:rsid w:val="00711B6A"/>
    <w:rsid w:val="00712287"/>
    <w:rsid w:val="00712716"/>
    <w:rsid w:val="00712772"/>
    <w:rsid w:val="00712F0C"/>
    <w:rsid w:val="007148D3"/>
    <w:rsid w:val="00714B0C"/>
    <w:rsid w:val="007153A5"/>
    <w:rsid w:val="00715B9A"/>
    <w:rsid w:val="00715C1B"/>
    <w:rsid w:val="00715DD7"/>
    <w:rsid w:val="00717834"/>
    <w:rsid w:val="00717E83"/>
    <w:rsid w:val="00717FAA"/>
    <w:rsid w:val="0072045C"/>
    <w:rsid w:val="00721184"/>
    <w:rsid w:val="007213DD"/>
    <w:rsid w:val="007224E4"/>
    <w:rsid w:val="007226C6"/>
    <w:rsid w:val="007227B2"/>
    <w:rsid w:val="00724CFB"/>
    <w:rsid w:val="0072663A"/>
    <w:rsid w:val="00726EA6"/>
    <w:rsid w:val="00727208"/>
    <w:rsid w:val="00727680"/>
    <w:rsid w:val="007320B8"/>
    <w:rsid w:val="00733C4C"/>
    <w:rsid w:val="007348B1"/>
    <w:rsid w:val="00734AAF"/>
    <w:rsid w:val="00734CB5"/>
    <w:rsid w:val="007362A6"/>
    <w:rsid w:val="007366B1"/>
    <w:rsid w:val="00736D7D"/>
    <w:rsid w:val="00736FE0"/>
    <w:rsid w:val="00737A01"/>
    <w:rsid w:val="00737FB0"/>
    <w:rsid w:val="00740567"/>
    <w:rsid w:val="00740574"/>
    <w:rsid w:val="00740831"/>
    <w:rsid w:val="00740E58"/>
    <w:rsid w:val="0074138A"/>
    <w:rsid w:val="00741946"/>
    <w:rsid w:val="00741D4A"/>
    <w:rsid w:val="00742081"/>
    <w:rsid w:val="00742802"/>
    <w:rsid w:val="0074315E"/>
    <w:rsid w:val="00743FB7"/>
    <w:rsid w:val="0074459E"/>
    <w:rsid w:val="007445A0"/>
    <w:rsid w:val="00744C86"/>
    <w:rsid w:val="0074524B"/>
    <w:rsid w:val="007463C6"/>
    <w:rsid w:val="00747D8B"/>
    <w:rsid w:val="00751057"/>
    <w:rsid w:val="007510C5"/>
    <w:rsid w:val="00751228"/>
    <w:rsid w:val="00751497"/>
    <w:rsid w:val="007521C1"/>
    <w:rsid w:val="00752FB3"/>
    <w:rsid w:val="0075331F"/>
    <w:rsid w:val="00753486"/>
    <w:rsid w:val="007535BF"/>
    <w:rsid w:val="00754114"/>
    <w:rsid w:val="007543BC"/>
    <w:rsid w:val="007550B2"/>
    <w:rsid w:val="007571E1"/>
    <w:rsid w:val="007573DE"/>
    <w:rsid w:val="00757707"/>
    <w:rsid w:val="007604B2"/>
    <w:rsid w:val="00760B4A"/>
    <w:rsid w:val="0076150A"/>
    <w:rsid w:val="00761B49"/>
    <w:rsid w:val="0076299E"/>
    <w:rsid w:val="00763983"/>
    <w:rsid w:val="00763EF3"/>
    <w:rsid w:val="00763F92"/>
    <w:rsid w:val="00764180"/>
    <w:rsid w:val="00764B57"/>
    <w:rsid w:val="00765281"/>
    <w:rsid w:val="0076612B"/>
    <w:rsid w:val="00766286"/>
    <w:rsid w:val="007666E8"/>
    <w:rsid w:val="00766BAD"/>
    <w:rsid w:val="00766CF7"/>
    <w:rsid w:val="007679AE"/>
    <w:rsid w:val="00767D83"/>
    <w:rsid w:val="007707E7"/>
    <w:rsid w:val="007719C2"/>
    <w:rsid w:val="00772B23"/>
    <w:rsid w:val="0077381A"/>
    <w:rsid w:val="00773F3C"/>
    <w:rsid w:val="00774D29"/>
    <w:rsid w:val="007755F2"/>
    <w:rsid w:val="007764C2"/>
    <w:rsid w:val="00776705"/>
    <w:rsid w:val="00776971"/>
    <w:rsid w:val="00776AA2"/>
    <w:rsid w:val="00776EE9"/>
    <w:rsid w:val="00777255"/>
    <w:rsid w:val="007775CC"/>
    <w:rsid w:val="00777D37"/>
    <w:rsid w:val="00777F7A"/>
    <w:rsid w:val="0078111D"/>
    <w:rsid w:val="0078177E"/>
    <w:rsid w:val="00783001"/>
    <w:rsid w:val="0078304C"/>
    <w:rsid w:val="00783673"/>
    <w:rsid w:val="0078527C"/>
    <w:rsid w:val="00785490"/>
    <w:rsid w:val="007861DB"/>
    <w:rsid w:val="00786A31"/>
    <w:rsid w:val="00787FA7"/>
    <w:rsid w:val="0079083E"/>
    <w:rsid w:val="00790B99"/>
    <w:rsid w:val="00790CD0"/>
    <w:rsid w:val="0079178C"/>
    <w:rsid w:val="00791BBB"/>
    <w:rsid w:val="007925EA"/>
    <w:rsid w:val="00792A8F"/>
    <w:rsid w:val="00792FAB"/>
    <w:rsid w:val="00793977"/>
    <w:rsid w:val="00793CD8"/>
    <w:rsid w:val="0079428B"/>
    <w:rsid w:val="00795C92"/>
    <w:rsid w:val="00796231"/>
    <w:rsid w:val="00796317"/>
    <w:rsid w:val="00796573"/>
    <w:rsid w:val="00796B93"/>
    <w:rsid w:val="00796CA9"/>
    <w:rsid w:val="007A1CB3"/>
    <w:rsid w:val="007A1EB2"/>
    <w:rsid w:val="007A2FBF"/>
    <w:rsid w:val="007A306F"/>
    <w:rsid w:val="007A321A"/>
    <w:rsid w:val="007A43A6"/>
    <w:rsid w:val="007A4693"/>
    <w:rsid w:val="007A58A6"/>
    <w:rsid w:val="007A5B38"/>
    <w:rsid w:val="007A6180"/>
    <w:rsid w:val="007A6A52"/>
    <w:rsid w:val="007A7160"/>
    <w:rsid w:val="007B1A8E"/>
    <w:rsid w:val="007B3014"/>
    <w:rsid w:val="007B32CF"/>
    <w:rsid w:val="007B33DA"/>
    <w:rsid w:val="007B3D2D"/>
    <w:rsid w:val="007B42E6"/>
    <w:rsid w:val="007B50AE"/>
    <w:rsid w:val="007B51DF"/>
    <w:rsid w:val="007B5573"/>
    <w:rsid w:val="007B65CE"/>
    <w:rsid w:val="007B6D86"/>
    <w:rsid w:val="007B7374"/>
    <w:rsid w:val="007B75DC"/>
    <w:rsid w:val="007B774B"/>
    <w:rsid w:val="007B7D25"/>
    <w:rsid w:val="007B7EC6"/>
    <w:rsid w:val="007C031E"/>
    <w:rsid w:val="007C05DD"/>
    <w:rsid w:val="007C09AB"/>
    <w:rsid w:val="007C0D39"/>
    <w:rsid w:val="007C346A"/>
    <w:rsid w:val="007C3D18"/>
    <w:rsid w:val="007C4317"/>
    <w:rsid w:val="007C47AB"/>
    <w:rsid w:val="007C543E"/>
    <w:rsid w:val="007C60BF"/>
    <w:rsid w:val="007C6A07"/>
    <w:rsid w:val="007C75A1"/>
    <w:rsid w:val="007C771D"/>
    <w:rsid w:val="007C77A5"/>
    <w:rsid w:val="007D04E5"/>
    <w:rsid w:val="007D0951"/>
    <w:rsid w:val="007D09D8"/>
    <w:rsid w:val="007D5901"/>
    <w:rsid w:val="007D6813"/>
    <w:rsid w:val="007D6B14"/>
    <w:rsid w:val="007D6B5B"/>
    <w:rsid w:val="007D7163"/>
    <w:rsid w:val="007D7526"/>
    <w:rsid w:val="007D781B"/>
    <w:rsid w:val="007D7BC4"/>
    <w:rsid w:val="007E0479"/>
    <w:rsid w:val="007E196F"/>
    <w:rsid w:val="007E1D9E"/>
    <w:rsid w:val="007E3CA7"/>
    <w:rsid w:val="007E4610"/>
    <w:rsid w:val="007E4715"/>
    <w:rsid w:val="007E4B43"/>
    <w:rsid w:val="007E505B"/>
    <w:rsid w:val="007E567A"/>
    <w:rsid w:val="007E6C01"/>
    <w:rsid w:val="007E7091"/>
    <w:rsid w:val="007E73F4"/>
    <w:rsid w:val="007F0677"/>
    <w:rsid w:val="007F072E"/>
    <w:rsid w:val="007F13C4"/>
    <w:rsid w:val="007F26D4"/>
    <w:rsid w:val="007F2854"/>
    <w:rsid w:val="007F285D"/>
    <w:rsid w:val="007F3E43"/>
    <w:rsid w:val="007F54BC"/>
    <w:rsid w:val="007F6A23"/>
    <w:rsid w:val="007F75D5"/>
    <w:rsid w:val="00801F6F"/>
    <w:rsid w:val="00803122"/>
    <w:rsid w:val="008035D0"/>
    <w:rsid w:val="00803C09"/>
    <w:rsid w:val="00803FAE"/>
    <w:rsid w:val="00804460"/>
    <w:rsid w:val="00805150"/>
    <w:rsid w:val="008054E8"/>
    <w:rsid w:val="00805AB5"/>
    <w:rsid w:val="0080605F"/>
    <w:rsid w:val="008063CC"/>
    <w:rsid w:val="0080694A"/>
    <w:rsid w:val="00806EE7"/>
    <w:rsid w:val="0080717D"/>
    <w:rsid w:val="00807786"/>
    <w:rsid w:val="008079B6"/>
    <w:rsid w:val="00807E90"/>
    <w:rsid w:val="00810851"/>
    <w:rsid w:val="00810A3F"/>
    <w:rsid w:val="008112E8"/>
    <w:rsid w:val="00811B55"/>
    <w:rsid w:val="00811BBF"/>
    <w:rsid w:val="00811FCB"/>
    <w:rsid w:val="0081200F"/>
    <w:rsid w:val="008122CE"/>
    <w:rsid w:val="00812372"/>
    <w:rsid w:val="00813ECF"/>
    <w:rsid w:val="00814DF6"/>
    <w:rsid w:val="00815879"/>
    <w:rsid w:val="008158D6"/>
    <w:rsid w:val="0081655B"/>
    <w:rsid w:val="00817196"/>
    <w:rsid w:val="008209FB"/>
    <w:rsid w:val="00822C78"/>
    <w:rsid w:val="008233E4"/>
    <w:rsid w:val="008234DE"/>
    <w:rsid w:val="008235DB"/>
    <w:rsid w:val="00823A62"/>
    <w:rsid w:val="00824AB4"/>
    <w:rsid w:val="00824B3E"/>
    <w:rsid w:val="00825C42"/>
    <w:rsid w:val="00825D25"/>
    <w:rsid w:val="00827D6F"/>
    <w:rsid w:val="00827F3E"/>
    <w:rsid w:val="00830EF3"/>
    <w:rsid w:val="008321B2"/>
    <w:rsid w:val="00834689"/>
    <w:rsid w:val="00835144"/>
    <w:rsid w:val="0083611C"/>
    <w:rsid w:val="008370EA"/>
    <w:rsid w:val="008376AC"/>
    <w:rsid w:val="008403CE"/>
    <w:rsid w:val="00841803"/>
    <w:rsid w:val="00842EA5"/>
    <w:rsid w:val="008431F0"/>
    <w:rsid w:val="00843BE1"/>
    <w:rsid w:val="0084427E"/>
    <w:rsid w:val="008444E8"/>
    <w:rsid w:val="00844E80"/>
    <w:rsid w:val="00846FE7"/>
    <w:rsid w:val="00847AD7"/>
    <w:rsid w:val="00850702"/>
    <w:rsid w:val="00850D54"/>
    <w:rsid w:val="008516B4"/>
    <w:rsid w:val="00852BBD"/>
    <w:rsid w:val="00854E76"/>
    <w:rsid w:val="008550DC"/>
    <w:rsid w:val="008552B4"/>
    <w:rsid w:val="00856911"/>
    <w:rsid w:val="00856AAA"/>
    <w:rsid w:val="00856E89"/>
    <w:rsid w:val="00857460"/>
    <w:rsid w:val="00862B39"/>
    <w:rsid w:val="0086389A"/>
    <w:rsid w:val="008641C6"/>
    <w:rsid w:val="00864892"/>
    <w:rsid w:val="00865E18"/>
    <w:rsid w:val="00866BC0"/>
    <w:rsid w:val="008677FD"/>
    <w:rsid w:val="008706D4"/>
    <w:rsid w:val="00870833"/>
    <w:rsid w:val="00870918"/>
    <w:rsid w:val="00870DCD"/>
    <w:rsid w:val="00870DE1"/>
    <w:rsid w:val="00870F8A"/>
    <w:rsid w:val="008719A4"/>
    <w:rsid w:val="00871D23"/>
    <w:rsid w:val="00874312"/>
    <w:rsid w:val="0087437C"/>
    <w:rsid w:val="0087501D"/>
    <w:rsid w:val="00875394"/>
    <w:rsid w:val="008758A4"/>
    <w:rsid w:val="00875CD7"/>
    <w:rsid w:val="0087641E"/>
    <w:rsid w:val="00876B4D"/>
    <w:rsid w:val="00876D4F"/>
    <w:rsid w:val="00876F50"/>
    <w:rsid w:val="00877F18"/>
    <w:rsid w:val="00877F78"/>
    <w:rsid w:val="0088072A"/>
    <w:rsid w:val="008859E6"/>
    <w:rsid w:val="008874AD"/>
    <w:rsid w:val="0089005F"/>
    <w:rsid w:val="008917B3"/>
    <w:rsid w:val="00891D41"/>
    <w:rsid w:val="00892536"/>
    <w:rsid w:val="00893DFA"/>
    <w:rsid w:val="0089445F"/>
    <w:rsid w:val="00894A88"/>
    <w:rsid w:val="00895386"/>
    <w:rsid w:val="008970BE"/>
    <w:rsid w:val="00897690"/>
    <w:rsid w:val="008A16E5"/>
    <w:rsid w:val="008A1D9D"/>
    <w:rsid w:val="008A21FF"/>
    <w:rsid w:val="008A29AB"/>
    <w:rsid w:val="008A2CE2"/>
    <w:rsid w:val="008A30AC"/>
    <w:rsid w:val="008A44B8"/>
    <w:rsid w:val="008A51A8"/>
    <w:rsid w:val="008A54C7"/>
    <w:rsid w:val="008A5DF5"/>
    <w:rsid w:val="008A609B"/>
    <w:rsid w:val="008A7077"/>
    <w:rsid w:val="008A77D8"/>
    <w:rsid w:val="008A7BC4"/>
    <w:rsid w:val="008A7CD0"/>
    <w:rsid w:val="008B0483"/>
    <w:rsid w:val="008B120C"/>
    <w:rsid w:val="008B22B7"/>
    <w:rsid w:val="008B2DB0"/>
    <w:rsid w:val="008B3400"/>
    <w:rsid w:val="008B40CF"/>
    <w:rsid w:val="008B4AE9"/>
    <w:rsid w:val="008B51A0"/>
    <w:rsid w:val="008B5268"/>
    <w:rsid w:val="008B592A"/>
    <w:rsid w:val="008B770C"/>
    <w:rsid w:val="008B7B5C"/>
    <w:rsid w:val="008C087A"/>
    <w:rsid w:val="008C0AD7"/>
    <w:rsid w:val="008C0C99"/>
    <w:rsid w:val="008C0CB0"/>
    <w:rsid w:val="008C1D80"/>
    <w:rsid w:val="008C2017"/>
    <w:rsid w:val="008C2913"/>
    <w:rsid w:val="008C35F4"/>
    <w:rsid w:val="008C3EB0"/>
    <w:rsid w:val="008C4958"/>
    <w:rsid w:val="008C4BAA"/>
    <w:rsid w:val="008C52B3"/>
    <w:rsid w:val="008C5641"/>
    <w:rsid w:val="008C6466"/>
    <w:rsid w:val="008C6AE8"/>
    <w:rsid w:val="008C7213"/>
    <w:rsid w:val="008C7463"/>
    <w:rsid w:val="008C7573"/>
    <w:rsid w:val="008D0A2F"/>
    <w:rsid w:val="008D0E6C"/>
    <w:rsid w:val="008D10E2"/>
    <w:rsid w:val="008D2BA4"/>
    <w:rsid w:val="008D34F1"/>
    <w:rsid w:val="008D366E"/>
    <w:rsid w:val="008D3933"/>
    <w:rsid w:val="008D39D8"/>
    <w:rsid w:val="008D412E"/>
    <w:rsid w:val="008D4254"/>
    <w:rsid w:val="008D430F"/>
    <w:rsid w:val="008D543D"/>
    <w:rsid w:val="008D6D1A"/>
    <w:rsid w:val="008D73EC"/>
    <w:rsid w:val="008D7CBC"/>
    <w:rsid w:val="008E065E"/>
    <w:rsid w:val="008E0927"/>
    <w:rsid w:val="008E09D0"/>
    <w:rsid w:val="008E0CF8"/>
    <w:rsid w:val="008E187D"/>
    <w:rsid w:val="008E1909"/>
    <w:rsid w:val="008E2A3E"/>
    <w:rsid w:val="008E3406"/>
    <w:rsid w:val="008E38BC"/>
    <w:rsid w:val="008E65AE"/>
    <w:rsid w:val="008E68F7"/>
    <w:rsid w:val="008E6A0E"/>
    <w:rsid w:val="008E72EF"/>
    <w:rsid w:val="008E7345"/>
    <w:rsid w:val="008F026D"/>
    <w:rsid w:val="008F0EA2"/>
    <w:rsid w:val="008F1EAB"/>
    <w:rsid w:val="008F234C"/>
    <w:rsid w:val="008F265D"/>
    <w:rsid w:val="008F2A64"/>
    <w:rsid w:val="008F33DC"/>
    <w:rsid w:val="008F3471"/>
    <w:rsid w:val="008F3A73"/>
    <w:rsid w:val="008F477F"/>
    <w:rsid w:val="008F4BB5"/>
    <w:rsid w:val="008F58CA"/>
    <w:rsid w:val="008F68E1"/>
    <w:rsid w:val="008F7234"/>
    <w:rsid w:val="008F733B"/>
    <w:rsid w:val="008F7891"/>
    <w:rsid w:val="008F7E1E"/>
    <w:rsid w:val="00900646"/>
    <w:rsid w:val="00901115"/>
    <w:rsid w:val="00902350"/>
    <w:rsid w:val="0090336B"/>
    <w:rsid w:val="00904CFD"/>
    <w:rsid w:val="009053AA"/>
    <w:rsid w:val="00905480"/>
    <w:rsid w:val="00905A2A"/>
    <w:rsid w:val="0090621A"/>
    <w:rsid w:val="00906939"/>
    <w:rsid w:val="009106D0"/>
    <w:rsid w:val="00910B7D"/>
    <w:rsid w:val="00910EC6"/>
    <w:rsid w:val="0091165B"/>
    <w:rsid w:val="00911DFB"/>
    <w:rsid w:val="009139D9"/>
    <w:rsid w:val="00913D57"/>
    <w:rsid w:val="00913F0C"/>
    <w:rsid w:val="009148E6"/>
    <w:rsid w:val="00914AD8"/>
    <w:rsid w:val="00915D87"/>
    <w:rsid w:val="00916079"/>
    <w:rsid w:val="00916118"/>
    <w:rsid w:val="00917CE9"/>
    <w:rsid w:val="009208D7"/>
    <w:rsid w:val="00920BF2"/>
    <w:rsid w:val="00921B8B"/>
    <w:rsid w:val="00921CB0"/>
    <w:rsid w:val="00921D4F"/>
    <w:rsid w:val="00922010"/>
    <w:rsid w:val="00922605"/>
    <w:rsid w:val="00923793"/>
    <w:rsid w:val="00923D9F"/>
    <w:rsid w:val="00924481"/>
    <w:rsid w:val="0092452F"/>
    <w:rsid w:val="009246C5"/>
    <w:rsid w:val="00924DC4"/>
    <w:rsid w:val="00930CC5"/>
    <w:rsid w:val="00931BD9"/>
    <w:rsid w:val="00931E21"/>
    <w:rsid w:val="00933CD3"/>
    <w:rsid w:val="00934730"/>
    <w:rsid w:val="009352C2"/>
    <w:rsid w:val="00935739"/>
    <w:rsid w:val="00935D8C"/>
    <w:rsid w:val="009368F3"/>
    <w:rsid w:val="00936C4A"/>
    <w:rsid w:val="00936EEB"/>
    <w:rsid w:val="00937443"/>
    <w:rsid w:val="00940AFF"/>
    <w:rsid w:val="00941636"/>
    <w:rsid w:val="00942DBE"/>
    <w:rsid w:val="00942F42"/>
    <w:rsid w:val="009431A5"/>
    <w:rsid w:val="0094364B"/>
    <w:rsid w:val="00943742"/>
    <w:rsid w:val="00943B17"/>
    <w:rsid w:val="00944290"/>
    <w:rsid w:val="0094438E"/>
    <w:rsid w:val="00944562"/>
    <w:rsid w:val="00945386"/>
    <w:rsid w:val="00945C05"/>
    <w:rsid w:val="00945DBB"/>
    <w:rsid w:val="00946945"/>
    <w:rsid w:val="00946984"/>
    <w:rsid w:val="00947713"/>
    <w:rsid w:val="00947990"/>
    <w:rsid w:val="009479AA"/>
    <w:rsid w:val="00947DDD"/>
    <w:rsid w:val="00950953"/>
    <w:rsid w:val="00950DE7"/>
    <w:rsid w:val="00952528"/>
    <w:rsid w:val="00952A21"/>
    <w:rsid w:val="00952A24"/>
    <w:rsid w:val="00952AF2"/>
    <w:rsid w:val="00952C97"/>
    <w:rsid w:val="00953920"/>
    <w:rsid w:val="00953D47"/>
    <w:rsid w:val="009546D9"/>
    <w:rsid w:val="009547A2"/>
    <w:rsid w:val="00954BBC"/>
    <w:rsid w:val="00954BF4"/>
    <w:rsid w:val="0095532E"/>
    <w:rsid w:val="00955DDD"/>
    <w:rsid w:val="0095681E"/>
    <w:rsid w:val="00956B14"/>
    <w:rsid w:val="009572D4"/>
    <w:rsid w:val="00960FE3"/>
    <w:rsid w:val="00961091"/>
    <w:rsid w:val="00961921"/>
    <w:rsid w:val="00961FB2"/>
    <w:rsid w:val="00963F15"/>
    <w:rsid w:val="009641A7"/>
    <w:rsid w:val="0096430A"/>
    <w:rsid w:val="009644CB"/>
    <w:rsid w:val="009644FF"/>
    <w:rsid w:val="009647C7"/>
    <w:rsid w:val="00964FB6"/>
    <w:rsid w:val="00965176"/>
    <w:rsid w:val="0096554B"/>
    <w:rsid w:val="0096584A"/>
    <w:rsid w:val="00966833"/>
    <w:rsid w:val="00967713"/>
    <w:rsid w:val="009700F2"/>
    <w:rsid w:val="00971F08"/>
    <w:rsid w:val="00972038"/>
    <w:rsid w:val="009729C6"/>
    <w:rsid w:val="0097311C"/>
    <w:rsid w:val="00973C34"/>
    <w:rsid w:val="0097493A"/>
    <w:rsid w:val="00974DB1"/>
    <w:rsid w:val="0097576F"/>
    <w:rsid w:val="00975F5D"/>
    <w:rsid w:val="0097603D"/>
    <w:rsid w:val="00976406"/>
    <w:rsid w:val="00976949"/>
    <w:rsid w:val="009770F2"/>
    <w:rsid w:val="00980092"/>
    <w:rsid w:val="00980321"/>
    <w:rsid w:val="00980477"/>
    <w:rsid w:val="00981259"/>
    <w:rsid w:val="009815E8"/>
    <w:rsid w:val="00982379"/>
    <w:rsid w:val="00982668"/>
    <w:rsid w:val="00982946"/>
    <w:rsid w:val="00982BBC"/>
    <w:rsid w:val="0098360E"/>
    <w:rsid w:val="009839A9"/>
    <w:rsid w:val="00985253"/>
    <w:rsid w:val="009853B3"/>
    <w:rsid w:val="009853CE"/>
    <w:rsid w:val="00985BFD"/>
    <w:rsid w:val="00987A9D"/>
    <w:rsid w:val="00987A9E"/>
    <w:rsid w:val="00990630"/>
    <w:rsid w:val="00990E55"/>
    <w:rsid w:val="00990F81"/>
    <w:rsid w:val="00991761"/>
    <w:rsid w:val="00991E2E"/>
    <w:rsid w:val="00994DCA"/>
    <w:rsid w:val="00995CD7"/>
    <w:rsid w:val="00995DDB"/>
    <w:rsid w:val="009960EC"/>
    <w:rsid w:val="009970DD"/>
    <w:rsid w:val="00997CB2"/>
    <w:rsid w:val="009A0A2D"/>
    <w:rsid w:val="009A0B65"/>
    <w:rsid w:val="009A0FBA"/>
    <w:rsid w:val="009A1601"/>
    <w:rsid w:val="009A18A7"/>
    <w:rsid w:val="009A1BF8"/>
    <w:rsid w:val="009A3A5C"/>
    <w:rsid w:val="009A3CCD"/>
    <w:rsid w:val="009A4210"/>
    <w:rsid w:val="009A44C5"/>
    <w:rsid w:val="009A462D"/>
    <w:rsid w:val="009A4DDD"/>
    <w:rsid w:val="009A5CBA"/>
    <w:rsid w:val="009A7113"/>
    <w:rsid w:val="009A7E55"/>
    <w:rsid w:val="009B142A"/>
    <w:rsid w:val="009B1F30"/>
    <w:rsid w:val="009B200F"/>
    <w:rsid w:val="009B2162"/>
    <w:rsid w:val="009B2CBC"/>
    <w:rsid w:val="009B39BF"/>
    <w:rsid w:val="009B3AC2"/>
    <w:rsid w:val="009B41EE"/>
    <w:rsid w:val="009B4DF4"/>
    <w:rsid w:val="009B52FC"/>
    <w:rsid w:val="009B564E"/>
    <w:rsid w:val="009B5FF0"/>
    <w:rsid w:val="009B6325"/>
    <w:rsid w:val="009B7E87"/>
    <w:rsid w:val="009C0424"/>
    <w:rsid w:val="009C21AC"/>
    <w:rsid w:val="009C2CD4"/>
    <w:rsid w:val="009C403E"/>
    <w:rsid w:val="009C409A"/>
    <w:rsid w:val="009C6832"/>
    <w:rsid w:val="009D004D"/>
    <w:rsid w:val="009D07D5"/>
    <w:rsid w:val="009D0DFB"/>
    <w:rsid w:val="009D13EF"/>
    <w:rsid w:val="009D1F11"/>
    <w:rsid w:val="009D3180"/>
    <w:rsid w:val="009D3B4B"/>
    <w:rsid w:val="009D4178"/>
    <w:rsid w:val="009D45DF"/>
    <w:rsid w:val="009D4FF0"/>
    <w:rsid w:val="009D5F53"/>
    <w:rsid w:val="009D68ED"/>
    <w:rsid w:val="009D703C"/>
    <w:rsid w:val="009D718F"/>
    <w:rsid w:val="009D7802"/>
    <w:rsid w:val="009E068F"/>
    <w:rsid w:val="009E14E0"/>
    <w:rsid w:val="009E1A93"/>
    <w:rsid w:val="009E2B48"/>
    <w:rsid w:val="009E32D2"/>
    <w:rsid w:val="009E35DB"/>
    <w:rsid w:val="009E47A3"/>
    <w:rsid w:val="009E57E3"/>
    <w:rsid w:val="009E581A"/>
    <w:rsid w:val="009E5E2B"/>
    <w:rsid w:val="009E60D8"/>
    <w:rsid w:val="009F0157"/>
    <w:rsid w:val="009F06D6"/>
    <w:rsid w:val="009F08F3"/>
    <w:rsid w:val="009F0C99"/>
    <w:rsid w:val="009F1E46"/>
    <w:rsid w:val="009F2D96"/>
    <w:rsid w:val="009F344F"/>
    <w:rsid w:val="009F3D66"/>
    <w:rsid w:val="009F45F8"/>
    <w:rsid w:val="009F549A"/>
    <w:rsid w:val="009F64C8"/>
    <w:rsid w:val="009F7D1D"/>
    <w:rsid w:val="009F7D93"/>
    <w:rsid w:val="00A01834"/>
    <w:rsid w:val="00A01C14"/>
    <w:rsid w:val="00A026C2"/>
    <w:rsid w:val="00A031D8"/>
    <w:rsid w:val="00A040DB"/>
    <w:rsid w:val="00A041FE"/>
    <w:rsid w:val="00A048A8"/>
    <w:rsid w:val="00A04A03"/>
    <w:rsid w:val="00A04F49"/>
    <w:rsid w:val="00A0512B"/>
    <w:rsid w:val="00A05A89"/>
    <w:rsid w:val="00A061D3"/>
    <w:rsid w:val="00A06B40"/>
    <w:rsid w:val="00A07E1C"/>
    <w:rsid w:val="00A10E3A"/>
    <w:rsid w:val="00A125D4"/>
    <w:rsid w:val="00A127F3"/>
    <w:rsid w:val="00A131E7"/>
    <w:rsid w:val="00A1344C"/>
    <w:rsid w:val="00A13E54"/>
    <w:rsid w:val="00A140AD"/>
    <w:rsid w:val="00A14780"/>
    <w:rsid w:val="00A153D5"/>
    <w:rsid w:val="00A15471"/>
    <w:rsid w:val="00A155DA"/>
    <w:rsid w:val="00A15745"/>
    <w:rsid w:val="00A15793"/>
    <w:rsid w:val="00A1614A"/>
    <w:rsid w:val="00A16C61"/>
    <w:rsid w:val="00A16CFD"/>
    <w:rsid w:val="00A16FA2"/>
    <w:rsid w:val="00A17A20"/>
    <w:rsid w:val="00A17B51"/>
    <w:rsid w:val="00A17F63"/>
    <w:rsid w:val="00A201AC"/>
    <w:rsid w:val="00A2193B"/>
    <w:rsid w:val="00A2351A"/>
    <w:rsid w:val="00A257CB"/>
    <w:rsid w:val="00A264A9"/>
    <w:rsid w:val="00A269E0"/>
    <w:rsid w:val="00A27785"/>
    <w:rsid w:val="00A278A1"/>
    <w:rsid w:val="00A279F2"/>
    <w:rsid w:val="00A30187"/>
    <w:rsid w:val="00A30B29"/>
    <w:rsid w:val="00A31A6B"/>
    <w:rsid w:val="00A31C7E"/>
    <w:rsid w:val="00A33BAA"/>
    <w:rsid w:val="00A3448A"/>
    <w:rsid w:val="00A358BD"/>
    <w:rsid w:val="00A35F16"/>
    <w:rsid w:val="00A36297"/>
    <w:rsid w:val="00A36782"/>
    <w:rsid w:val="00A37CD8"/>
    <w:rsid w:val="00A417AD"/>
    <w:rsid w:val="00A41E2B"/>
    <w:rsid w:val="00A43B9B"/>
    <w:rsid w:val="00A4597C"/>
    <w:rsid w:val="00A45B74"/>
    <w:rsid w:val="00A45B79"/>
    <w:rsid w:val="00A45DE8"/>
    <w:rsid w:val="00A46ACD"/>
    <w:rsid w:val="00A46CBD"/>
    <w:rsid w:val="00A46D9D"/>
    <w:rsid w:val="00A4713F"/>
    <w:rsid w:val="00A47318"/>
    <w:rsid w:val="00A47823"/>
    <w:rsid w:val="00A47DDB"/>
    <w:rsid w:val="00A50D5F"/>
    <w:rsid w:val="00A511D0"/>
    <w:rsid w:val="00A5176F"/>
    <w:rsid w:val="00A52E1D"/>
    <w:rsid w:val="00A54F53"/>
    <w:rsid w:val="00A55B8E"/>
    <w:rsid w:val="00A566D4"/>
    <w:rsid w:val="00A57667"/>
    <w:rsid w:val="00A60BCB"/>
    <w:rsid w:val="00A61499"/>
    <w:rsid w:val="00A62A77"/>
    <w:rsid w:val="00A6337B"/>
    <w:rsid w:val="00A63483"/>
    <w:rsid w:val="00A64063"/>
    <w:rsid w:val="00A642E7"/>
    <w:rsid w:val="00A657D7"/>
    <w:rsid w:val="00A65A2B"/>
    <w:rsid w:val="00A660AC"/>
    <w:rsid w:val="00A67E6C"/>
    <w:rsid w:val="00A70360"/>
    <w:rsid w:val="00A71B99"/>
    <w:rsid w:val="00A71C6E"/>
    <w:rsid w:val="00A72871"/>
    <w:rsid w:val="00A73932"/>
    <w:rsid w:val="00A739D0"/>
    <w:rsid w:val="00A73EDE"/>
    <w:rsid w:val="00A7402E"/>
    <w:rsid w:val="00A74588"/>
    <w:rsid w:val="00A75490"/>
    <w:rsid w:val="00A760E9"/>
    <w:rsid w:val="00A761D4"/>
    <w:rsid w:val="00A76479"/>
    <w:rsid w:val="00A768E5"/>
    <w:rsid w:val="00A7699C"/>
    <w:rsid w:val="00A77990"/>
    <w:rsid w:val="00A77A66"/>
    <w:rsid w:val="00A77EC4"/>
    <w:rsid w:val="00A81DB5"/>
    <w:rsid w:val="00A81FC1"/>
    <w:rsid w:val="00A82C89"/>
    <w:rsid w:val="00A82EF9"/>
    <w:rsid w:val="00A84D63"/>
    <w:rsid w:val="00A85C6C"/>
    <w:rsid w:val="00A85EF6"/>
    <w:rsid w:val="00A866C9"/>
    <w:rsid w:val="00A867B0"/>
    <w:rsid w:val="00A92879"/>
    <w:rsid w:val="00A93AE5"/>
    <w:rsid w:val="00A9433C"/>
    <w:rsid w:val="00A9442A"/>
    <w:rsid w:val="00A94F4B"/>
    <w:rsid w:val="00A95646"/>
    <w:rsid w:val="00A965CA"/>
    <w:rsid w:val="00A96C89"/>
    <w:rsid w:val="00AA016F"/>
    <w:rsid w:val="00AA0313"/>
    <w:rsid w:val="00AA1196"/>
    <w:rsid w:val="00AA158C"/>
    <w:rsid w:val="00AA1ED6"/>
    <w:rsid w:val="00AA2151"/>
    <w:rsid w:val="00AA25DF"/>
    <w:rsid w:val="00AA2A52"/>
    <w:rsid w:val="00AA3F75"/>
    <w:rsid w:val="00AA4AD9"/>
    <w:rsid w:val="00AA51D6"/>
    <w:rsid w:val="00AA62C4"/>
    <w:rsid w:val="00AA695C"/>
    <w:rsid w:val="00AB00BA"/>
    <w:rsid w:val="00AB0392"/>
    <w:rsid w:val="00AB0BC8"/>
    <w:rsid w:val="00AB11CA"/>
    <w:rsid w:val="00AB14D9"/>
    <w:rsid w:val="00AB27FA"/>
    <w:rsid w:val="00AB2BDB"/>
    <w:rsid w:val="00AB2DFF"/>
    <w:rsid w:val="00AB4AB8"/>
    <w:rsid w:val="00AB655E"/>
    <w:rsid w:val="00AB6A4A"/>
    <w:rsid w:val="00AB7255"/>
    <w:rsid w:val="00AB75E6"/>
    <w:rsid w:val="00AB7DDF"/>
    <w:rsid w:val="00AC007F"/>
    <w:rsid w:val="00AC0718"/>
    <w:rsid w:val="00AC0EAA"/>
    <w:rsid w:val="00AC1E9A"/>
    <w:rsid w:val="00AC2473"/>
    <w:rsid w:val="00AC2ECD"/>
    <w:rsid w:val="00AC2F7D"/>
    <w:rsid w:val="00AC3119"/>
    <w:rsid w:val="00AC4658"/>
    <w:rsid w:val="00AC465B"/>
    <w:rsid w:val="00AC49FB"/>
    <w:rsid w:val="00AC4F6F"/>
    <w:rsid w:val="00AC5439"/>
    <w:rsid w:val="00AC5A10"/>
    <w:rsid w:val="00AC5CFA"/>
    <w:rsid w:val="00AC7789"/>
    <w:rsid w:val="00AC7F11"/>
    <w:rsid w:val="00AC7F79"/>
    <w:rsid w:val="00AD0AA3"/>
    <w:rsid w:val="00AD0D33"/>
    <w:rsid w:val="00AD3373"/>
    <w:rsid w:val="00AD3F94"/>
    <w:rsid w:val="00AD45AE"/>
    <w:rsid w:val="00AD4A5A"/>
    <w:rsid w:val="00AD5B85"/>
    <w:rsid w:val="00AD5FA7"/>
    <w:rsid w:val="00AE05B0"/>
    <w:rsid w:val="00AE0DC8"/>
    <w:rsid w:val="00AE124B"/>
    <w:rsid w:val="00AE1303"/>
    <w:rsid w:val="00AE22D5"/>
    <w:rsid w:val="00AE27AC"/>
    <w:rsid w:val="00AE2871"/>
    <w:rsid w:val="00AE2FEB"/>
    <w:rsid w:val="00AE40E0"/>
    <w:rsid w:val="00AE4DBA"/>
    <w:rsid w:val="00AE4F07"/>
    <w:rsid w:val="00AE5B8D"/>
    <w:rsid w:val="00AE6B3A"/>
    <w:rsid w:val="00AE70A8"/>
    <w:rsid w:val="00AE7823"/>
    <w:rsid w:val="00AF0198"/>
    <w:rsid w:val="00AF08FB"/>
    <w:rsid w:val="00AF1C2D"/>
    <w:rsid w:val="00AF1C5D"/>
    <w:rsid w:val="00AF28C7"/>
    <w:rsid w:val="00AF3F43"/>
    <w:rsid w:val="00AF42D7"/>
    <w:rsid w:val="00B006FE"/>
    <w:rsid w:val="00B007CB"/>
    <w:rsid w:val="00B009DC"/>
    <w:rsid w:val="00B01032"/>
    <w:rsid w:val="00B019B2"/>
    <w:rsid w:val="00B01EA9"/>
    <w:rsid w:val="00B02AA9"/>
    <w:rsid w:val="00B02FA3"/>
    <w:rsid w:val="00B03374"/>
    <w:rsid w:val="00B05084"/>
    <w:rsid w:val="00B050AB"/>
    <w:rsid w:val="00B056E9"/>
    <w:rsid w:val="00B1174B"/>
    <w:rsid w:val="00B13A30"/>
    <w:rsid w:val="00B148B7"/>
    <w:rsid w:val="00B15577"/>
    <w:rsid w:val="00B157F9"/>
    <w:rsid w:val="00B15F72"/>
    <w:rsid w:val="00B16147"/>
    <w:rsid w:val="00B169DE"/>
    <w:rsid w:val="00B16AC4"/>
    <w:rsid w:val="00B20256"/>
    <w:rsid w:val="00B205BF"/>
    <w:rsid w:val="00B20D09"/>
    <w:rsid w:val="00B21953"/>
    <w:rsid w:val="00B21CED"/>
    <w:rsid w:val="00B22841"/>
    <w:rsid w:val="00B22923"/>
    <w:rsid w:val="00B22D53"/>
    <w:rsid w:val="00B23F9B"/>
    <w:rsid w:val="00B2568A"/>
    <w:rsid w:val="00B25ACD"/>
    <w:rsid w:val="00B2701C"/>
    <w:rsid w:val="00B2763F"/>
    <w:rsid w:val="00B279B0"/>
    <w:rsid w:val="00B27AAC"/>
    <w:rsid w:val="00B30929"/>
    <w:rsid w:val="00B31806"/>
    <w:rsid w:val="00B36A2E"/>
    <w:rsid w:val="00B36A76"/>
    <w:rsid w:val="00B36F5B"/>
    <w:rsid w:val="00B372AA"/>
    <w:rsid w:val="00B372CD"/>
    <w:rsid w:val="00B3745E"/>
    <w:rsid w:val="00B40445"/>
    <w:rsid w:val="00B405DC"/>
    <w:rsid w:val="00B41888"/>
    <w:rsid w:val="00B41F2D"/>
    <w:rsid w:val="00B435A9"/>
    <w:rsid w:val="00B45308"/>
    <w:rsid w:val="00B45A52"/>
    <w:rsid w:val="00B46175"/>
    <w:rsid w:val="00B5395B"/>
    <w:rsid w:val="00B53E0B"/>
    <w:rsid w:val="00B53F90"/>
    <w:rsid w:val="00B54136"/>
    <w:rsid w:val="00B552BF"/>
    <w:rsid w:val="00B56376"/>
    <w:rsid w:val="00B56474"/>
    <w:rsid w:val="00B60181"/>
    <w:rsid w:val="00B63DCF"/>
    <w:rsid w:val="00B65120"/>
    <w:rsid w:val="00B6606B"/>
    <w:rsid w:val="00B664C7"/>
    <w:rsid w:val="00B67F1E"/>
    <w:rsid w:val="00B700A7"/>
    <w:rsid w:val="00B71548"/>
    <w:rsid w:val="00B736F6"/>
    <w:rsid w:val="00B739B6"/>
    <w:rsid w:val="00B739F6"/>
    <w:rsid w:val="00B74C0C"/>
    <w:rsid w:val="00B7508A"/>
    <w:rsid w:val="00B75A51"/>
    <w:rsid w:val="00B75C45"/>
    <w:rsid w:val="00B761E0"/>
    <w:rsid w:val="00B769D8"/>
    <w:rsid w:val="00B77E1D"/>
    <w:rsid w:val="00B81A6C"/>
    <w:rsid w:val="00B81B35"/>
    <w:rsid w:val="00B83B22"/>
    <w:rsid w:val="00B83EE4"/>
    <w:rsid w:val="00B84AC6"/>
    <w:rsid w:val="00B853E1"/>
    <w:rsid w:val="00B857D5"/>
    <w:rsid w:val="00B85DE5"/>
    <w:rsid w:val="00B85E07"/>
    <w:rsid w:val="00B86E7D"/>
    <w:rsid w:val="00B8731A"/>
    <w:rsid w:val="00B87C98"/>
    <w:rsid w:val="00B90F73"/>
    <w:rsid w:val="00B91755"/>
    <w:rsid w:val="00B91A6C"/>
    <w:rsid w:val="00B929E5"/>
    <w:rsid w:val="00B93046"/>
    <w:rsid w:val="00B93869"/>
    <w:rsid w:val="00B93B59"/>
    <w:rsid w:val="00B9406A"/>
    <w:rsid w:val="00B94990"/>
    <w:rsid w:val="00B95083"/>
    <w:rsid w:val="00B95A29"/>
    <w:rsid w:val="00B96616"/>
    <w:rsid w:val="00B97C74"/>
    <w:rsid w:val="00BA165A"/>
    <w:rsid w:val="00BA2280"/>
    <w:rsid w:val="00BA2A08"/>
    <w:rsid w:val="00BA36FB"/>
    <w:rsid w:val="00BA4847"/>
    <w:rsid w:val="00BA5449"/>
    <w:rsid w:val="00BA560D"/>
    <w:rsid w:val="00BA56D2"/>
    <w:rsid w:val="00BA61B7"/>
    <w:rsid w:val="00BA72E0"/>
    <w:rsid w:val="00BA76E0"/>
    <w:rsid w:val="00BB0C87"/>
    <w:rsid w:val="00BB2A25"/>
    <w:rsid w:val="00BB51E9"/>
    <w:rsid w:val="00BB678D"/>
    <w:rsid w:val="00BB792A"/>
    <w:rsid w:val="00BC0613"/>
    <w:rsid w:val="00BC0FDC"/>
    <w:rsid w:val="00BC1627"/>
    <w:rsid w:val="00BC3053"/>
    <w:rsid w:val="00BC324D"/>
    <w:rsid w:val="00BC413C"/>
    <w:rsid w:val="00BC41F8"/>
    <w:rsid w:val="00BC44B6"/>
    <w:rsid w:val="00BC4D2E"/>
    <w:rsid w:val="00BC53ED"/>
    <w:rsid w:val="00BC632C"/>
    <w:rsid w:val="00BD31C7"/>
    <w:rsid w:val="00BD35E8"/>
    <w:rsid w:val="00BD48AC"/>
    <w:rsid w:val="00BD598E"/>
    <w:rsid w:val="00BD5A79"/>
    <w:rsid w:val="00BD5F1A"/>
    <w:rsid w:val="00BD6758"/>
    <w:rsid w:val="00BD6A57"/>
    <w:rsid w:val="00BD6C50"/>
    <w:rsid w:val="00BD7E23"/>
    <w:rsid w:val="00BE01FE"/>
    <w:rsid w:val="00BE1234"/>
    <w:rsid w:val="00BE1316"/>
    <w:rsid w:val="00BE1680"/>
    <w:rsid w:val="00BE1C75"/>
    <w:rsid w:val="00BE2233"/>
    <w:rsid w:val="00BE2FA6"/>
    <w:rsid w:val="00BE333F"/>
    <w:rsid w:val="00BE3F81"/>
    <w:rsid w:val="00BE4E83"/>
    <w:rsid w:val="00BE5D75"/>
    <w:rsid w:val="00BE7406"/>
    <w:rsid w:val="00BE7603"/>
    <w:rsid w:val="00BE7AD3"/>
    <w:rsid w:val="00BF01F0"/>
    <w:rsid w:val="00BF2796"/>
    <w:rsid w:val="00BF2E47"/>
    <w:rsid w:val="00BF2F32"/>
    <w:rsid w:val="00BF3206"/>
    <w:rsid w:val="00BF3279"/>
    <w:rsid w:val="00BF4A0B"/>
    <w:rsid w:val="00BF51D3"/>
    <w:rsid w:val="00BF64ED"/>
    <w:rsid w:val="00BF74C7"/>
    <w:rsid w:val="00BF75E7"/>
    <w:rsid w:val="00BF7642"/>
    <w:rsid w:val="00BF7D06"/>
    <w:rsid w:val="00C015F1"/>
    <w:rsid w:val="00C01F33"/>
    <w:rsid w:val="00C02A4C"/>
    <w:rsid w:val="00C02CC6"/>
    <w:rsid w:val="00C04059"/>
    <w:rsid w:val="00C040F7"/>
    <w:rsid w:val="00C044AB"/>
    <w:rsid w:val="00C0464E"/>
    <w:rsid w:val="00C046C0"/>
    <w:rsid w:val="00C04974"/>
    <w:rsid w:val="00C04E2F"/>
    <w:rsid w:val="00C051DD"/>
    <w:rsid w:val="00C05706"/>
    <w:rsid w:val="00C05FAF"/>
    <w:rsid w:val="00C06295"/>
    <w:rsid w:val="00C06AEA"/>
    <w:rsid w:val="00C06E83"/>
    <w:rsid w:val="00C07377"/>
    <w:rsid w:val="00C07810"/>
    <w:rsid w:val="00C10478"/>
    <w:rsid w:val="00C10482"/>
    <w:rsid w:val="00C10BF1"/>
    <w:rsid w:val="00C10CCE"/>
    <w:rsid w:val="00C115EC"/>
    <w:rsid w:val="00C12107"/>
    <w:rsid w:val="00C1295A"/>
    <w:rsid w:val="00C12E87"/>
    <w:rsid w:val="00C130B7"/>
    <w:rsid w:val="00C13A4B"/>
    <w:rsid w:val="00C14D4B"/>
    <w:rsid w:val="00C14F0B"/>
    <w:rsid w:val="00C154BB"/>
    <w:rsid w:val="00C159C8"/>
    <w:rsid w:val="00C16685"/>
    <w:rsid w:val="00C16880"/>
    <w:rsid w:val="00C17F2E"/>
    <w:rsid w:val="00C20C02"/>
    <w:rsid w:val="00C20EBB"/>
    <w:rsid w:val="00C21202"/>
    <w:rsid w:val="00C22138"/>
    <w:rsid w:val="00C22F75"/>
    <w:rsid w:val="00C23615"/>
    <w:rsid w:val="00C236A0"/>
    <w:rsid w:val="00C23BAA"/>
    <w:rsid w:val="00C23C46"/>
    <w:rsid w:val="00C25158"/>
    <w:rsid w:val="00C2536D"/>
    <w:rsid w:val="00C253A3"/>
    <w:rsid w:val="00C256EC"/>
    <w:rsid w:val="00C25ECC"/>
    <w:rsid w:val="00C2631E"/>
    <w:rsid w:val="00C2666E"/>
    <w:rsid w:val="00C26853"/>
    <w:rsid w:val="00C277C3"/>
    <w:rsid w:val="00C279B5"/>
    <w:rsid w:val="00C27C45"/>
    <w:rsid w:val="00C319E9"/>
    <w:rsid w:val="00C32D47"/>
    <w:rsid w:val="00C33B33"/>
    <w:rsid w:val="00C33DD3"/>
    <w:rsid w:val="00C36979"/>
    <w:rsid w:val="00C3719D"/>
    <w:rsid w:val="00C42BF1"/>
    <w:rsid w:val="00C4445A"/>
    <w:rsid w:val="00C4451C"/>
    <w:rsid w:val="00C446D2"/>
    <w:rsid w:val="00C46718"/>
    <w:rsid w:val="00C46B05"/>
    <w:rsid w:val="00C4762D"/>
    <w:rsid w:val="00C47E05"/>
    <w:rsid w:val="00C47FAC"/>
    <w:rsid w:val="00C506C1"/>
    <w:rsid w:val="00C51E75"/>
    <w:rsid w:val="00C525E5"/>
    <w:rsid w:val="00C52EF4"/>
    <w:rsid w:val="00C5343E"/>
    <w:rsid w:val="00C54995"/>
    <w:rsid w:val="00C54D41"/>
    <w:rsid w:val="00C55A1F"/>
    <w:rsid w:val="00C55C18"/>
    <w:rsid w:val="00C56B4D"/>
    <w:rsid w:val="00C57E56"/>
    <w:rsid w:val="00C60783"/>
    <w:rsid w:val="00C60CBA"/>
    <w:rsid w:val="00C62371"/>
    <w:rsid w:val="00C62558"/>
    <w:rsid w:val="00C643A2"/>
    <w:rsid w:val="00C64644"/>
    <w:rsid w:val="00C64672"/>
    <w:rsid w:val="00C64B37"/>
    <w:rsid w:val="00C65D68"/>
    <w:rsid w:val="00C65F45"/>
    <w:rsid w:val="00C66B9E"/>
    <w:rsid w:val="00C67823"/>
    <w:rsid w:val="00C70697"/>
    <w:rsid w:val="00C715D5"/>
    <w:rsid w:val="00C719F4"/>
    <w:rsid w:val="00C71F71"/>
    <w:rsid w:val="00C72EF4"/>
    <w:rsid w:val="00C73202"/>
    <w:rsid w:val="00C73FA8"/>
    <w:rsid w:val="00C75D2F"/>
    <w:rsid w:val="00C75E8F"/>
    <w:rsid w:val="00C767BE"/>
    <w:rsid w:val="00C76E3C"/>
    <w:rsid w:val="00C80DD7"/>
    <w:rsid w:val="00C81568"/>
    <w:rsid w:val="00C83B70"/>
    <w:rsid w:val="00C840F3"/>
    <w:rsid w:val="00C84A6E"/>
    <w:rsid w:val="00C87E79"/>
    <w:rsid w:val="00C9027A"/>
    <w:rsid w:val="00C9058E"/>
    <w:rsid w:val="00C9068E"/>
    <w:rsid w:val="00C915AF"/>
    <w:rsid w:val="00C91CE5"/>
    <w:rsid w:val="00C92663"/>
    <w:rsid w:val="00C92C0F"/>
    <w:rsid w:val="00C933DA"/>
    <w:rsid w:val="00C9344B"/>
    <w:rsid w:val="00C93ABF"/>
    <w:rsid w:val="00C93C4B"/>
    <w:rsid w:val="00C944AB"/>
    <w:rsid w:val="00C945EE"/>
    <w:rsid w:val="00C95B40"/>
    <w:rsid w:val="00C9628D"/>
    <w:rsid w:val="00C962EC"/>
    <w:rsid w:val="00C96407"/>
    <w:rsid w:val="00C97E62"/>
    <w:rsid w:val="00CA0010"/>
    <w:rsid w:val="00CA0B5B"/>
    <w:rsid w:val="00CA1068"/>
    <w:rsid w:val="00CA11E6"/>
    <w:rsid w:val="00CA1D97"/>
    <w:rsid w:val="00CA1ECE"/>
    <w:rsid w:val="00CA1ED8"/>
    <w:rsid w:val="00CA2417"/>
    <w:rsid w:val="00CA521F"/>
    <w:rsid w:val="00CA68AD"/>
    <w:rsid w:val="00CA6A11"/>
    <w:rsid w:val="00CA6EF3"/>
    <w:rsid w:val="00CB1945"/>
    <w:rsid w:val="00CB1C00"/>
    <w:rsid w:val="00CB1E33"/>
    <w:rsid w:val="00CB1F16"/>
    <w:rsid w:val="00CB1F63"/>
    <w:rsid w:val="00CB2870"/>
    <w:rsid w:val="00CB29BE"/>
    <w:rsid w:val="00CB3736"/>
    <w:rsid w:val="00CB4F8A"/>
    <w:rsid w:val="00CB5842"/>
    <w:rsid w:val="00CB5B06"/>
    <w:rsid w:val="00CB67B6"/>
    <w:rsid w:val="00CB7170"/>
    <w:rsid w:val="00CB7724"/>
    <w:rsid w:val="00CC040E"/>
    <w:rsid w:val="00CC0DA2"/>
    <w:rsid w:val="00CC111F"/>
    <w:rsid w:val="00CC127F"/>
    <w:rsid w:val="00CC18E7"/>
    <w:rsid w:val="00CC2011"/>
    <w:rsid w:val="00CC2862"/>
    <w:rsid w:val="00CC2A83"/>
    <w:rsid w:val="00CC3089"/>
    <w:rsid w:val="00CC3EA0"/>
    <w:rsid w:val="00CC42FC"/>
    <w:rsid w:val="00CC5121"/>
    <w:rsid w:val="00CC7B45"/>
    <w:rsid w:val="00CC7C89"/>
    <w:rsid w:val="00CC7E1C"/>
    <w:rsid w:val="00CD0898"/>
    <w:rsid w:val="00CD1188"/>
    <w:rsid w:val="00CD1F22"/>
    <w:rsid w:val="00CD2ED1"/>
    <w:rsid w:val="00CD31B9"/>
    <w:rsid w:val="00CD337B"/>
    <w:rsid w:val="00CD49A8"/>
    <w:rsid w:val="00CD512A"/>
    <w:rsid w:val="00CD5772"/>
    <w:rsid w:val="00CD61A1"/>
    <w:rsid w:val="00CD6AD7"/>
    <w:rsid w:val="00CD7C39"/>
    <w:rsid w:val="00CE0424"/>
    <w:rsid w:val="00CE1A48"/>
    <w:rsid w:val="00CE1CEE"/>
    <w:rsid w:val="00CE2A4F"/>
    <w:rsid w:val="00CE33DE"/>
    <w:rsid w:val="00CE540B"/>
    <w:rsid w:val="00CE6E59"/>
    <w:rsid w:val="00CE7561"/>
    <w:rsid w:val="00CE7CC5"/>
    <w:rsid w:val="00CF0299"/>
    <w:rsid w:val="00CF1354"/>
    <w:rsid w:val="00CF13FB"/>
    <w:rsid w:val="00CF19F5"/>
    <w:rsid w:val="00CF26E5"/>
    <w:rsid w:val="00CF300D"/>
    <w:rsid w:val="00CF3154"/>
    <w:rsid w:val="00CF34C9"/>
    <w:rsid w:val="00CF3B1F"/>
    <w:rsid w:val="00CF3BF6"/>
    <w:rsid w:val="00CF5E3B"/>
    <w:rsid w:val="00CF625B"/>
    <w:rsid w:val="00CF6576"/>
    <w:rsid w:val="00CF687E"/>
    <w:rsid w:val="00CF74E2"/>
    <w:rsid w:val="00CF75FF"/>
    <w:rsid w:val="00D010D0"/>
    <w:rsid w:val="00D0115F"/>
    <w:rsid w:val="00D030F3"/>
    <w:rsid w:val="00D0349B"/>
    <w:rsid w:val="00D04523"/>
    <w:rsid w:val="00D049E2"/>
    <w:rsid w:val="00D0534F"/>
    <w:rsid w:val="00D05D42"/>
    <w:rsid w:val="00D06D6F"/>
    <w:rsid w:val="00D07E6C"/>
    <w:rsid w:val="00D07F2B"/>
    <w:rsid w:val="00D10249"/>
    <w:rsid w:val="00D115C3"/>
    <w:rsid w:val="00D11897"/>
    <w:rsid w:val="00D11BCF"/>
    <w:rsid w:val="00D11C0E"/>
    <w:rsid w:val="00D11E88"/>
    <w:rsid w:val="00D130D3"/>
    <w:rsid w:val="00D13135"/>
    <w:rsid w:val="00D13DCA"/>
    <w:rsid w:val="00D13E4E"/>
    <w:rsid w:val="00D15B46"/>
    <w:rsid w:val="00D2027D"/>
    <w:rsid w:val="00D22A63"/>
    <w:rsid w:val="00D22B56"/>
    <w:rsid w:val="00D22FB2"/>
    <w:rsid w:val="00D23650"/>
    <w:rsid w:val="00D239A7"/>
    <w:rsid w:val="00D23CF9"/>
    <w:rsid w:val="00D23F47"/>
    <w:rsid w:val="00D24C1C"/>
    <w:rsid w:val="00D25A53"/>
    <w:rsid w:val="00D25B71"/>
    <w:rsid w:val="00D27A0B"/>
    <w:rsid w:val="00D30F95"/>
    <w:rsid w:val="00D311D4"/>
    <w:rsid w:val="00D326B7"/>
    <w:rsid w:val="00D3338B"/>
    <w:rsid w:val="00D34033"/>
    <w:rsid w:val="00D34880"/>
    <w:rsid w:val="00D36309"/>
    <w:rsid w:val="00D36448"/>
    <w:rsid w:val="00D36CD4"/>
    <w:rsid w:val="00D36E71"/>
    <w:rsid w:val="00D3727B"/>
    <w:rsid w:val="00D3778C"/>
    <w:rsid w:val="00D37D87"/>
    <w:rsid w:val="00D407DD"/>
    <w:rsid w:val="00D40B33"/>
    <w:rsid w:val="00D4254C"/>
    <w:rsid w:val="00D4318F"/>
    <w:rsid w:val="00D436A7"/>
    <w:rsid w:val="00D438BF"/>
    <w:rsid w:val="00D440F8"/>
    <w:rsid w:val="00D44891"/>
    <w:rsid w:val="00D46757"/>
    <w:rsid w:val="00D46F20"/>
    <w:rsid w:val="00D47479"/>
    <w:rsid w:val="00D502E5"/>
    <w:rsid w:val="00D50B57"/>
    <w:rsid w:val="00D52578"/>
    <w:rsid w:val="00D533F4"/>
    <w:rsid w:val="00D53682"/>
    <w:rsid w:val="00D546FF"/>
    <w:rsid w:val="00D54AA7"/>
    <w:rsid w:val="00D54B16"/>
    <w:rsid w:val="00D556B1"/>
    <w:rsid w:val="00D55AD5"/>
    <w:rsid w:val="00D56F27"/>
    <w:rsid w:val="00D56F32"/>
    <w:rsid w:val="00D5711B"/>
    <w:rsid w:val="00D5740A"/>
    <w:rsid w:val="00D57636"/>
    <w:rsid w:val="00D576CA"/>
    <w:rsid w:val="00D57C7D"/>
    <w:rsid w:val="00D6026E"/>
    <w:rsid w:val="00D60282"/>
    <w:rsid w:val="00D603C4"/>
    <w:rsid w:val="00D61AF5"/>
    <w:rsid w:val="00D6264C"/>
    <w:rsid w:val="00D62725"/>
    <w:rsid w:val="00D63449"/>
    <w:rsid w:val="00D6367E"/>
    <w:rsid w:val="00D641A6"/>
    <w:rsid w:val="00D642CA"/>
    <w:rsid w:val="00D652B5"/>
    <w:rsid w:val="00D6569B"/>
    <w:rsid w:val="00D66155"/>
    <w:rsid w:val="00D665B9"/>
    <w:rsid w:val="00D66B36"/>
    <w:rsid w:val="00D67D01"/>
    <w:rsid w:val="00D706D2"/>
    <w:rsid w:val="00D708B0"/>
    <w:rsid w:val="00D71482"/>
    <w:rsid w:val="00D71678"/>
    <w:rsid w:val="00D718DE"/>
    <w:rsid w:val="00D71D0A"/>
    <w:rsid w:val="00D72D24"/>
    <w:rsid w:val="00D7321B"/>
    <w:rsid w:val="00D73D8A"/>
    <w:rsid w:val="00D756B6"/>
    <w:rsid w:val="00D75EA7"/>
    <w:rsid w:val="00D7728C"/>
    <w:rsid w:val="00D77820"/>
    <w:rsid w:val="00D77B1D"/>
    <w:rsid w:val="00D77E4A"/>
    <w:rsid w:val="00D8021F"/>
    <w:rsid w:val="00D80383"/>
    <w:rsid w:val="00D8102F"/>
    <w:rsid w:val="00D813ED"/>
    <w:rsid w:val="00D8168B"/>
    <w:rsid w:val="00D823C6"/>
    <w:rsid w:val="00D8260F"/>
    <w:rsid w:val="00D827F5"/>
    <w:rsid w:val="00D82A76"/>
    <w:rsid w:val="00D82DF7"/>
    <w:rsid w:val="00D834FD"/>
    <w:rsid w:val="00D83594"/>
    <w:rsid w:val="00D8470B"/>
    <w:rsid w:val="00D85A9A"/>
    <w:rsid w:val="00D86CA3"/>
    <w:rsid w:val="00D86D6B"/>
    <w:rsid w:val="00D86DA2"/>
    <w:rsid w:val="00D871CE"/>
    <w:rsid w:val="00D8741A"/>
    <w:rsid w:val="00D8791D"/>
    <w:rsid w:val="00D9196D"/>
    <w:rsid w:val="00D92982"/>
    <w:rsid w:val="00D9433E"/>
    <w:rsid w:val="00D94C35"/>
    <w:rsid w:val="00D94E97"/>
    <w:rsid w:val="00D95501"/>
    <w:rsid w:val="00D95CE1"/>
    <w:rsid w:val="00DA04FC"/>
    <w:rsid w:val="00DA0F2F"/>
    <w:rsid w:val="00DA1278"/>
    <w:rsid w:val="00DA1CF0"/>
    <w:rsid w:val="00DA2184"/>
    <w:rsid w:val="00DA24D7"/>
    <w:rsid w:val="00DA305E"/>
    <w:rsid w:val="00DA3C72"/>
    <w:rsid w:val="00DA4203"/>
    <w:rsid w:val="00DA503B"/>
    <w:rsid w:val="00DA5417"/>
    <w:rsid w:val="00DA56E8"/>
    <w:rsid w:val="00DA587C"/>
    <w:rsid w:val="00DA59C5"/>
    <w:rsid w:val="00DA7168"/>
    <w:rsid w:val="00DA7767"/>
    <w:rsid w:val="00DB0A9F"/>
    <w:rsid w:val="00DB202F"/>
    <w:rsid w:val="00DB3535"/>
    <w:rsid w:val="00DB377D"/>
    <w:rsid w:val="00DB4C35"/>
    <w:rsid w:val="00DB5A1C"/>
    <w:rsid w:val="00DB7696"/>
    <w:rsid w:val="00DB7AF6"/>
    <w:rsid w:val="00DC05B0"/>
    <w:rsid w:val="00DC0722"/>
    <w:rsid w:val="00DC078E"/>
    <w:rsid w:val="00DC1EBB"/>
    <w:rsid w:val="00DC20F4"/>
    <w:rsid w:val="00DC2AE4"/>
    <w:rsid w:val="00DC2D36"/>
    <w:rsid w:val="00DC327B"/>
    <w:rsid w:val="00DC357A"/>
    <w:rsid w:val="00DC48BD"/>
    <w:rsid w:val="00DC4AE6"/>
    <w:rsid w:val="00DC53CC"/>
    <w:rsid w:val="00DC53EF"/>
    <w:rsid w:val="00DC6C3C"/>
    <w:rsid w:val="00DD0CB7"/>
    <w:rsid w:val="00DD42D8"/>
    <w:rsid w:val="00DE2047"/>
    <w:rsid w:val="00DE208C"/>
    <w:rsid w:val="00DE394D"/>
    <w:rsid w:val="00DE47A5"/>
    <w:rsid w:val="00DE52BD"/>
    <w:rsid w:val="00DE5608"/>
    <w:rsid w:val="00DE58D0"/>
    <w:rsid w:val="00DE5FF8"/>
    <w:rsid w:val="00DE654F"/>
    <w:rsid w:val="00DE78AC"/>
    <w:rsid w:val="00DF0B6E"/>
    <w:rsid w:val="00DF0C86"/>
    <w:rsid w:val="00DF15E0"/>
    <w:rsid w:val="00DF2631"/>
    <w:rsid w:val="00DF28E5"/>
    <w:rsid w:val="00DF37A0"/>
    <w:rsid w:val="00DF411E"/>
    <w:rsid w:val="00DF4D3E"/>
    <w:rsid w:val="00DF69E1"/>
    <w:rsid w:val="00DF6E1C"/>
    <w:rsid w:val="00DF7E26"/>
    <w:rsid w:val="00E00056"/>
    <w:rsid w:val="00E01009"/>
    <w:rsid w:val="00E01348"/>
    <w:rsid w:val="00E02C39"/>
    <w:rsid w:val="00E04905"/>
    <w:rsid w:val="00E05C7A"/>
    <w:rsid w:val="00E06CDE"/>
    <w:rsid w:val="00E110E7"/>
    <w:rsid w:val="00E11B20"/>
    <w:rsid w:val="00E11C70"/>
    <w:rsid w:val="00E125FC"/>
    <w:rsid w:val="00E128FE"/>
    <w:rsid w:val="00E13136"/>
    <w:rsid w:val="00E148D3"/>
    <w:rsid w:val="00E14BFF"/>
    <w:rsid w:val="00E14F8F"/>
    <w:rsid w:val="00E1543D"/>
    <w:rsid w:val="00E166DD"/>
    <w:rsid w:val="00E16703"/>
    <w:rsid w:val="00E17FA2"/>
    <w:rsid w:val="00E20D4E"/>
    <w:rsid w:val="00E2136F"/>
    <w:rsid w:val="00E22330"/>
    <w:rsid w:val="00E23036"/>
    <w:rsid w:val="00E230D8"/>
    <w:rsid w:val="00E231AE"/>
    <w:rsid w:val="00E25282"/>
    <w:rsid w:val="00E2584F"/>
    <w:rsid w:val="00E25AEF"/>
    <w:rsid w:val="00E2608B"/>
    <w:rsid w:val="00E26441"/>
    <w:rsid w:val="00E27D86"/>
    <w:rsid w:val="00E27DD2"/>
    <w:rsid w:val="00E30B5A"/>
    <w:rsid w:val="00E3123D"/>
    <w:rsid w:val="00E31461"/>
    <w:rsid w:val="00E31D43"/>
    <w:rsid w:val="00E323DB"/>
    <w:rsid w:val="00E32608"/>
    <w:rsid w:val="00E34055"/>
    <w:rsid w:val="00E34188"/>
    <w:rsid w:val="00E34B6E"/>
    <w:rsid w:val="00E353C8"/>
    <w:rsid w:val="00E35559"/>
    <w:rsid w:val="00E3723A"/>
    <w:rsid w:val="00E376CA"/>
    <w:rsid w:val="00E3782E"/>
    <w:rsid w:val="00E37860"/>
    <w:rsid w:val="00E37EFC"/>
    <w:rsid w:val="00E40A56"/>
    <w:rsid w:val="00E418A8"/>
    <w:rsid w:val="00E41A6D"/>
    <w:rsid w:val="00E44305"/>
    <w:rsid w:val="00E446F1"/>
    <w:rsid w:val="00E44C4C"/>
    <w:rsid w:val="00E45151"/>
    <w:rsid w:val="00E4594B"/>
    <w:rsid w:val="00E460B2"/>
    <w:rsid w:val="00E4619B"/>
    <w:rsid w:val="00E46886"/>
    <w:rsid w:val="00E47A10"/>
    <w:rsid w:val="00E47AEF"/>
    <w:rsid w:val="00E51519"/>
    <w:rsid w:val="00E53B75"/>
    <w:rsid w:val="00E5400A"/>
    <w:rsid w:val="00E544E8"/>
    <w:rsid w:val="00E54E3B"/>
    <w:rsid w:val="00E56109"/>
    <w:rsid w:val="00E5689D"/>
    <w:rsid w:val="00E574EE"/>
    <w:rsid w:val="00E57565"/>
    <w:rsid w:val="00E576EF"/>
    <w:rsid w:val="00E577A7"/>
    <w:rsid w:val="00E6025D"/>
    <w:rsid w:val="00E609FB"/>
    <w:rsid w:val="00E61003"/>
    <w:rsid w:val="00E62AED"/>
    <w:rsid w:val="00E62B08"/>
    <w:rsid w:val="00E63838"/>
    <w:rsid w:val="00E63D05"/>
    <w:rsid w:val="00E64434"/>
    <w:rsid w:val="00E64B80"/>
    <w:rsid w:val="00E652A0"/>
    <w:rsid w:val="00E6582A"/>
    <w:rsid w:val="00E67C51"/>
    <w:rsid w:val="00E707F9"/>
    <w:rsid w:val="00E709FB"/>
    <w:rsid w:val="00E70E4F"/>
    <w:rsid w:val="00E70FC3"/>
    <w:rsid w:val="00E716C2"/>
    <w:rsid w:val="00E72284"/>
    <w:rsid w:val="00E72EFC"/>
    <w:rsid w:val="00E73828"/>
    <w:rsid w:val="00E74601"/>
    <w:rsid w:val="00E74D51"/>
    <w:rsid w:val="00E7523A"/>
    <w:rsid w:val="00E758EC"/>
    <w:rsid w:val="00E7664B"/>
    <w:rsid w:val="00E76E65"/>
    <w:rsid w:val="00E779B0"/>
    <w:rsid w:val="00E77F4A"/>
    <w:rsid w:val="00E80840"/>
    <w:rsid w:val="00E80B4C"/>
    <w:rsid w:val="00E81AFC"/>
    <w:rsid w:val="00E8234C"/>
    <w:rsid w:val="00E82911"/>
    <w:rsid w:val="00E83A2F"/>
    <w:rsid w:val="00E83AA9"/>
    <w:rsid w:val="00E84714"/>
    <w:rsid w:val="00E851F9"/>
    <w:rsid w:val="00E85626"/>
    <w:rsid w:val="00E85928"/>
    <w:rsid w:val="00E86286"/>
    <w:rsid w:val="00E86926"/>
    <w:rsid w:val="00E87822"/>
    <w:rsid w:val="00E9037C"/>
    <w:rsid w:val="00E90395"/>
    <w:rsid w:val="00E90812"/>
    <w:rsid w:val="00E90E49"/>
    <w:rsid w:val="00E917F9"/>
    <w:rsid w:val="00E9245B"/>
    <w:rsid w:val="00E9291C"/>
    <w:rsid w:val="00E92946"/>
    <w:rsid w:val="00E93117"/>
    <w:rsid w:val="00E93FFE"/>
    <w:rsid w:val="00E94F8A"/>
    <w:rsid w:val="00E978CE"/>
    <w:rsid w:val="00EA0713"/>
    <w:rsid w:val="00EA10D0"/>
    <w:rsid w:val="00EA1C9B"/>
    <w:rsid w:val="00EA1EEB"/>
    <w:rsid w:val="00EA2661"/>
    <w:rsid w:val="00EA2E4C"/>
    <w:rsid w:val="00EA3879"/>
    <w:rsid w:val="00EA478D"/>
    <w:rsid w:val="00EA4B16"/>
    <w:rsid w:val="00EA5D6C"/>
    <w:rsid w:val="00EA5DBF"/>
    <w:rsid w:val="00EA6263"/>
    <w:rsid w:val="00EA7839"/>
    <w:rsid w:val="00EA7A41"/>
    <w:rsid w:val="00EA7BCC"/>
    <w:rsid w:val="00EB077B"/>
    <w:rsid w:val="00EB10AF"/>
    <w:rsid w:val="00EB14C4"/>
    <w:rsid w:val="00EB168F"/>
    <w:rsid w:val="00EB1EAA"/>
    <w:rsid w:val="00EB209A"/>
    <w:rsid w:val="00EB39AA"/>
    <w:rsid w:val="00EB4D80"/>
    <w:rsid w:val="00EB4EA2"/>
    <w:rsid w:val="00EB57E4"/>
    <w:rsid w:val="00EB7840"/>
    <w:rsid w:val="00EB7A12"/>
    <w:rsid w:val="00EC1670"/>
    <w:rsid w:val="00EC27C6"/>
    <w:rsid w:val="00EC2C73"/>
    <w:rsid w:val="00EC36AF"/>
    <w:rsid w:val="00EC36D9"/>
    <w:rsid w:val="00EC395F"/>
    <w:rsid w:val="00EC4207"/>
    <w:rsid w:val="00EC464B"/>
    <w:rsid w:val="00EC46E3"/>
    <w:rsid w:val="00EC5653"/>
    <w:rsid w:val="00EC6255"/>
    <w:rsid w:val="00EC62A9"/>
    <w:rsid w:val="00EC6431"/>
    <w:rsid w:val="00EC6523"/>
    <w:rsid w:val="00EC71CE"/>
    <w:rsid w:val="00EC71D3"/>
    <w:rsid w:val="00EC77A7"/>
    <w:rsid w:val="00ED0270"/>
    <w:rsid w:val="00ED04E1"/>
    <w:rsid w:val="00ED1006"/>
    <w:rsid w:val="00ED12DC"/>
    <w:rsid w:val="00ED1A00"/>
    <w:rsid w:val="00ED3F8A"/>
    <w:rsid w:val="00ED5E1D"/>
    <w:rsid w:val="00ED7642"/>
    <w:rsid w:val="00EE08AE"/>
    <w:rsid w:val="00EE0E20"/>
    <w:rsid w:val="00EE163F"/>
    <w:rsid w:val="00EE1F8F"/>
    <w:rsid w:val="00EE29E6"/>
    <w:rsid w:val="00EE3738"/>
    <w:rsid w:val="00EE3BE4"/>
    <w:rsid w:val="00EE4204"/>
    <w:rsid w:val="00EE5820"/>
    <w:rsid w:val="00EE59C8"/>
    <w:rsid w:val="00EE6451"/>
    <w:rsid w:val="00EE651E"/>
    <w:rsid w:val="00EE702C"/>
    <w:rsid w:val="00EF025F"/>
    <w:rsid w:val="00EF09B1"/>
    <w:rsid w:val="00EF0F5D"/>
    <w:rsid w:val="00EF18FE"/>
    <w:rsid w:val="00EF2432"/>
    <w:rsid w:val="00EF2734"/>
    <w:rsid w:val="00EF2A26"/>
    <w:rsid w:val="00EF2BDD"/>
    <w:rsid w:val="00EF4780"/>
    <w:rsid w:val="00EF4820"/>
    <w:rsid w:val="00EF55D8"/>
    <w:rsid w:val="00EF5787"/>
    <w:rsid w:val="00EF59B8"/>
    <w:rsid w:val="00EF60D0"/>
    <w:rsid w:val="00EF62AB"/>
    <w:rsid w:val="00F00F8D"/>
    <w:rsid w:val="00F025D5"/>
    <w:rsid w:val="00F02714"/>
    <w:rsid w:val="00F0272B"/>
    <w:rsid w:val="00F027B3"/>
    <w:rsid w:val="00F02A35"/>
    <w:rsid w:val="00F0439C"/>
    <w:rsid w:val="00F045AA"/>
    <w:rsid w:val="00F047C3"/>
    <w:rsid w:val="00F0528D"/>
    <w:rsid w:val="00F05FBA"/>
    <w:rsid w:val="00F066A3"/>
    <w:rsid w:val="00F06C67"/>
    <w:rsid w:val="00F06DFD"/>
    <w:rsid w:val="00F071D1"/>
    <w:rsid w:val="00F07533"/>
    <w:rsid w:val="00F10228"/>
    <w:rsid w:val="00F10629"/>
    <w:rsid w:val="00F10AFB"/>
    <w:rsid w:val="00F11407"/>
    <w:rsid w:val="00F1189E"/>
    <w:rsid w:val="00F11A0F"/>
    <w:rsid w:val="00F11E2A"/>
    <w:rsid w:val="00F12225"/>
    <w:rsid w:val="00F13226"/>
    <w:rsid w:val="00F14982"/>
    <w:rsid w:val="00F14ABF"/>
    <w:rsid w:val="00F15F69"/>
    <w:rsid w:val="00F15FA5"/>
    <w:rsid w:val="00F17853"/>
    <w:rsid w:val="00F17866"/>
    <w:rsid w:val="00F17A76"/>
    <w:rsid w:val="00F17F6B"/>
    <w:rsid w:val="00F204A3"/>
    <w:rsid w:val="00F209B7"/>
    <w:rsid w:val="00F20C76"/>
    <w:rsid w:val="00F20DA3"/>
    <w:rsid w:val="00F2136A"/>
    <w:rsid w:val="00F2152A"/>
    <w:rsid w:val="00F215C1"/>
    <w:rsid w:val="00F21E40"/>
    <w:rsid w:val="00F22A1C"/>
    <w:rsid w:val="00F2376F"/>
    <w:rsid w:val="00F243D8"/>
    <w:rsid w:val="00F24C49"/>
    <w:rsid w:val="00F24C7D"/>
    <w:rsid w:val="00F25B66"/>
    <w:rsid w:val="00F25EB0"/>
    <w:rsid w:val="00F25FBC"/>
    <w:rsid w:val="00F26BB4"/>
    <w:rsid w:val="00F2792D"/>
    <w:rsid w:val="00F2793D"/>
    <w:rsid w:val="00F30828"/>
    <w:rsid w:val="00F313D6"/>
    <w:rsid w:val="00F3198A"/>
    <w:rsid w:val="00F32F2E"/>
    <w:rsid w:val="00F33B9D"/>
    <w:rsid w:val="00F35EF1"/>
    <w:rsid w:val="00F37D47"/>
    <w:rsid w:val="00F37E63"/>
    <w:rsid w:val="00F40146"/>
    <w:rsid w:val="00F40F0C"/>
    <w:rsid w:val="00F41037"/>
    <w:rsid w:val="00F41D9F"/>
    <w:rsid w:val="00F444E2"/>
    <w:rsid w:val="00F45BF8"/>
    <w:rsid w:val="00F4766C"/>
    <w:rsid w:val="00F47B0E"/>
    <w:rsid w:val="00F47C08"/>
    <w:rsid w:val="00F502C2"/>
    <w:rsid w:val="00F5060E"/>
    <w:rsid w:val="00F507D1"/>
    <w:rsid w:val="00F50CD0"/>
    <w:rsid w:val="00F519CE"/>
    <w:rsid w:val="00F51ADA"/>
    <w:rsid w:val="00F535E4"/>
    <w:rsid w:val="00F54617"/>
    <w:rsid w:val="00F56880"/>
    <w:rsid w:val="00F569BC"/>
    <w:rsid w:val="00F56A50"/>
    <w:rsid w:val="00F5709B"/>
    <w:rsid w:val="00F57C72"/>
    <w:rsid w:val="00F607C5"/>
    <w:rsid w:val="00F60A6E"/>
    <w:rsid w:val="00F60DEA"/>
    <w:rsid w:val="00F60F48"/>
    <w:rsid w:val="00F61E79"/>
    <w:rsid w:val="00F62344"/>
    <w:rsid w:val="00F6302A"/>
    <w:rsid w:val="00F6460E"/>
    <w:rsid w:val="00F64C2B"/>
    <w:rsid w:val="00F64CAA"/>
    <w:rsid w:val="00F651BE"/>
    <w:rsid w:val="00F6525E"/>
    <w:rsid w:val="00F65970"/>
    <w:rsid w:val="00F66B9F"/>
    <w:rsid w:val="00F66BCF"/>
    <w:rsid w:val="00F66D9F"/>
    <w:rsid w:val="00F67982"/>
    <w:rsid w:val="00F67D50"/>
    <w:rsid w:val="00F67F53"/>
    <w:rsid w:val="00F703BE"/>
    <w:rsid w:val="00F706CA"/>
    <w:rsid w:val="00F711B7"/>
    <w:rsid w:val="00F712EB"/>
    <w:rsid w:val="00F71BE8"/>
    <w:rsid w:val="00F71E50"/>
    <w:rsid w:val="00F71F69"/>
    <w:rsid w:val="00F72B72"/>
    <w:rsid w:val="00F730ED"/>
    <w:rsid w:val="00F73190"/>
    <w:rsid w:val="00F73614"/>
    <w:rsid w:val="00F73E5A"/>
    <w:rsid w:val="00F74107"/>
    <w:rsid w:val="00F748DE"/>
    <w:rsid w:val="00F74BB9"/>
    <w:rsid w:val="00F74FDE"/>
    <w:rsid w:val="00F75582"/>
    <w:rsid w:val="00F76EFA"/>
    <w:rsid w:val="00F774AE"/>
    <w:rsid w:val="00F77D4E"/>
    <w:rsid w:val="00F804BE"/>
    <w:rsid w:val="00F814FE"/>
    <w:rsid w:val="00F817CE"/>
    <w:rsid w:val="00F825B7"/>
    <w:rsid w:val="00F83179"/>
    <w:rsid w:val="00F83310"/>
    <w:rsid w:val="00F83FEE"/>
    <w:rsid w:val="00F8456C"/>
    <w:rsid w:val="00F857F2"/>
    <w:rsid w:val="00F859D8"/>
    <w:rsid w:val="00F8613E"/>
    <w:rsid w:val="00F861B5"/>
    <w:rsid w:val="00F868F5"/>
    <w:rsid w:val="00F9056A"/>
    <w:rsid w:val="00F90F8D"/>
    <w:rsid w:val="00F92782"/>
    <w:rsid w:val="00F93AA9"/>
    <w:rsid w:val="00F95ECD"/>
    <w:rsid w:val="00F95FA2"/>
    <w:rsid w:val="00F96464"/>
    <w:rsid w:val="00F96985"/>
    <w:rsid w:val="00F96DDF"/>
    <w:rsid w:val="00F96E93"/>
    <w:rsid w:val="00F97098"/>
    <w:rsid w:val="00F97127"/>
    <w:rsid w:val="00F9782F"/>
    <w:rsid w:val="00F97838"/>
    <w:rsid w:val="00FA0532"/>
    <w:rsid w:val="00FA09F7"/>
    <w:rsid w:val="00FA1717"/>
    <w:rsid w:val="00FA1970"/>
    <w:rsid w:val="00FA204A"/>
    <w:rsid w:val="00FA2BB3"/>
    <w:rsid w:val="00FA2C57"/>
    <w:rsid w:val="00FA3554"/>
    <w:rsid w:val="00FA362C"/>
    <w:rsid w:val="00FA38C1"/>
    <w:rsid w:val="00FA3BB7"/>
    <w:rsid w:val="00FA3DBC"/>
    <w:rsid w:val="00FA4A1B"/>
    <w:rsid w:val="00FA5FD6"/>
    <w:rsid w:val="00FA6E88"/>
    <w:rsid w:val="00FA75EC"/>
    <w:rsid w:val="00FB0DC1"/>
    <w:rsid w:val="00FB1696"/>
    <w:rsid w:val="00FB1876"/>
    <w:rsid w:val="00FB29E7"/>
    <w:rsid w:val="00FB4861"/>
    <w:rsid w:val="00FB4C80"/>
    <w:rsid w:val="00FB5282"/>
    <w:rsid w:val="00FB52E2"/>
    <w:rsid w:val="00FB545A"/>
    <w:rsid w:val="00FB54A7"/>
    <w:rsid w:val="00FB5E1E"/>
    <w:rsid w:val="00FB6805"/>
    <w:rsid w:val="00FB68E0"/>
    <w:rsid w:val="00FB69E3"/>
    <w:rsid w:val="00FB6A6A"/>
    <w:rsid w:val="00FB715C"/>
    <w:rsid w:val="00FC0461"/>
    <w:rsid w:val="00FC247A"/>
    <w:rsid w:val="00FC3AC5"/>
    <w:rsid w:val="00FC3AEF"/>
    <w:rsid w:val="00FC3DA6"/>
    <w:rsid w:val="00FC536B"/>
    <w:rsid w:val="00FC58B2"/>
    <w:rsid w:val="00FC7429"/>
    <w:rsid w:val="00FC7433"/>
    <w:rsid w:val="00FD04FB"/>
    <w:rsid w:val="00FD07F6"/>
    <w:rsid w:val="00FD0EF6"/>
    <w:rsid w:val="00FD15BE"/>
    <w:rsid w:val="00FD1EC8"/>
    <w:rsid w:val="00FD2187"/>
    <w:rsid w:val="00FD2BBC"/>
    <w:rsid w:val="00FD47ED"/>
    <w:rsid w:val="00FD4907"/>
    <w:rsid w:val="00FD4D7D"/>
    <w:rsid w:val="00FD5337"/>
    <w:rsid w:val="00FD5407"/>
    <w:rsid w:val="00FD543B"/>
    <w:rsid w:val="00FD61F8"/>
    <w:rsid w:val="00FD74DB"/>
    <w:rsid w:val="00FD7660"/>
    <w:rsid w:val="00FD7907"/>
    <w:rsid w:val="00FE0599"/>
    <w:rsid w:val="00FE0655"/>
    <w:rsid w:val="00FE19E7"/>
    <w:rsid w:val="00FE1F5A"/>
    <w:rsid w:val="00FE2365"/>
    <w:rsid w:val="00FE247B"/>
    <w:rsid w:val="00FE2848"/>
    <w:rsid w:val="00FE37D7"/>
    <w:rsid w:val="00FE48B1"/>
    <w:rsid w:val="00FE4C7B"/>
    <w:rsid w:val="00FE658D"/>
    <w:rsid w:val="00FE6904"/>
    <w:rsid w:val="00FE7336"/>
    <w:rsid w:val="00FE787C"/>
    <w:rsid w:val="00FF1078"/>
    <w:rsid w:val="00FF185F"/>
    <w:rsid w:val="00FF4156"/>
    <w:rsid w:val="00FF45A5"/>
    <w:rsid w:val="00FF4D21"/>
    <w:rsid w:val="00FF558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7398C"/>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44161124">
      <w:bodyDiv w:val="1"/>
      <w:marLeft w:val="0"/>
      <w:marRight w:val="0"/>
      <w:marTop w:val="0"/>
      <w:marBottom w:val="0"/>
      <w:divBdr>
        <w:top w:val="none" w:sz="0" w:space="0" w:color="auto"/>
        <w:left w:val="none" w:sz="0" w:space="0" w:color="auto"/>
        <w:bottom w:val="none" w:sz="0" w:space="0" w:color="auto"/>
        <w:right w:val="none" w:sz="0" w:space="0" w:color="auto"/>
      </w:divBdr>
      <w:divsChild>
        <w:div w:id="2076775310">
          <w:marLeft w:val="1699"/>
          <w:marRight w:val="0"/>
          <w:marTop w:val="60"/>
          <w:marBottom w:val="0"/>
          <w:divBdr>
            <w:top w:val="none" w:sz="0" w:space="0" w:color="auto"/>
            <w:left w:val="none" w:sz="0" w:space="0" w:color="auto"/>
            <w:bottom w:val="none" w:sz="0" w:space="0" w:color="auto"/>
            <w:right w:val="none" w:sz="0" w:space="0" w:color="auto"/>
          </w:divBdr>
        </w:div>
        <w:div w:id="289288537">
          <w:marLeft w:val="1699"/>
          <w:marRight w:val="0"/>
          <w:marTop w:val="60"/>
          <w:marBottom w:val="0"/>
          <w:divBdr>
            <w:top w:val="none" w:sz="0" w:space="0" w:color="auto"/>
            <w:left w:val="none" w:sz="0" w:space="0" w:color="auto"/>
            <w:bottom w:val="none" w:sz="0" w:space="0" w:color="auto"/>
            <w:right w:val="none" w:sz="0" w:space="0" w:color="auto"/>
          </w:divBdr>
        </w:div>
        <w:div w:id="627787121">
          <w:marLeft w:val="1123"/>
          <w:marRight w:val="0"/>
          <w:marTop w:val="60"/>
          <w:marBottom w:val="0"/>
          <w:divBdr>
            <w:top w:val="none" w:sz="0" w:space="0" w:color="auto"/>
            <w:left w:val="none" w:sz="0" w:space="0" w:color="auto"/>
            <w:bottom w:val="none" w:sz="0" w:space="0" w:color="auto"/>
            <w:right w:val="none" w:sz="0" w:space="0" w:color="auto"/>
          </w:divBdr>
        </w:div>
        <w:div w:id="1006903052">
          <w:marLeft w:val="1699"/>
          <w:marRight w:val="0"/>
          <w:marTop w:val="60"/>
          <w:marBottom w:val="0"/>
          <w:divBdr>
            <w:top w:val="none" w:sz="0" w:space="0" w:color="auto"/>
            <w:left w:val="none" w:sz="0" w:space="0" w:color="auto"/>
            <w:bottom w:val="none" w:sz="0" w:space="0" w:color="auto"/>
            <w:right w:val="none" w:sz="0" w:space="0" w:color="auto"/>
          </w:divBdr>
        </w:div>
      </w:divsChild>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1032731518">
      <w:bodyDiv w:val="1"/>
      <w:marLeft w:val="0"/>
      <w:marRight w:val="0"/>
      <w:marTop w:val="0"/>
      <w:marBottom w:val="0"/>
      <w:divBdr>
        <w:top w:val="none" w:sz="0" w:space="0" w:color="auto"/>
        <w:left w:val="none" w:sz="0" w:space="0" w:color="auto"/>
        <w:bottom w:val="none" w:sz="0" w:space="0" w:color="auto"/>
        <w:right w:val="none" w:sz="0" w:space="0" w:color="auto"/>
      </w:divBdr>
      <w:divsChild>
        <w:div w:id="759907691">
          <w:marLeft w:val="1123"/>
          <w:marRight w:val="0"/>
          <w:marTop w:val="60"/>
          <w:marBottom w:val="0"/>
          <w:divBdr>
            <w:top w:val="none" w:sz="0" w:space="0" w:color="auto"/>
            <w:left w:val="none" w:sz="0" w:space="0" w:color="auto"/>
            <w:bottom w:val="none" w:sz="0" w:space="0" w:color="auto"/>
            <w:right w:val="none" w:sz="0" w:space="0" w:color="auto"/>
          </w:divBdr>
        </w:div>
      </w:divsChild>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42809349">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5568998">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5NUHHDQN7SK2-1476151046-41482</_dlc_DocId>
    <TaxCatchAll xmlns="d8762117-8292-4133-b1c7-eab5c6487cfd">
      <Value>10</Value>
      <Value>9</Value>
      <Value>8</Value>
      <Value>2</Value>
      <Value>1</Value>
    </TaxCatchAll>
    <_dlc_DocIdUrl xmlns="f166a696-7b5b-4ccd-9f0c-ffde0cceec81">
      <Url>https://ericsson.sharepoint.com/sites/star/_layouts/15/DocIdRedir.aspx?ID=5NUHHDQN7SK2-1476151046-41482</Url>
      <Description>5NUHHDQN7SK2-1476151046-41482</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911A1-53B4-4AA7-B3D3-D53464558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409B10-0B39-4144-AB9A-BBBB147F4DBF}">
  <ds:schemaRefs>
    <ds:schemaRef ds:uri="Microsoft.SharePoint.Taxonomy.ContentTypeSync"/>
  </ds:schemaRefs>
</ds:datastoreItem>
</file>

<file path=customXml/itemProps3.xml><?xml version="1.0" encoding="utf-8"?>
<ds:datastoreItem xmlns:ds="http://schemas.openxmlformats.org/officeDocument/2006/customXml" ds:itemID="{A96A8E2B-0DA0-4C11-A4E6-EE39BBC38E40}">
  <ds:schemaRefs>
    <ds:schemaRef ds:uri="http://schemas.microsoft.com/sharepoint/events"/>
  </ds:schemaRefs>
</ds:datastoreItem>
</file>

<file path=customXml/itemProps4.xml><?xml version="1.0" encoding="utf-8"?>
<ds:datastoreItem xmlns:ds="http://schemas.openxmlformats.org/officeDocument/2006/customXml" ds:itemID="{D4DBC37C-748D-4B86-87E4-89E766AA4C1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http://purl.org/dc/terms/"/>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A73A4024-AE39-483A-BF3E-6D38E9170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1174</TotalTime>
  <Pages>7</Pages>
  <Words>3069</Words>
  <Characters>16266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sebastian.faxer@ericsson.com</dc:creator>
  <cp:keywords>3GPP; Ericsson; TDoc</cp:keywords>
  <cp:lastModifiedBy>Sebastian Faxér</cp:lastModifiedBy>
  <cp:revision>297</cp:revision>
  <cp:lastPrinted>2008-01-31T15:09:00Z</cp:lastPrinted>
  <dcterms:created xsi:type="dcterms:W3CDTF">2019-02-11T12:15:00Z</dcterms:created>
  <dcterms:modified xsi:type="dcterms:W3CDTF">2019-02-15T16:34:00Z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de9de998-85c5-4e00-a360-c8bfe8929574</vt:lpwstr>
  </property>
  <property fmtid="{D5CDD505-2E9C-101B-9397-08002B2CF9AE}" pid="4" name="ContentTypeId">
    <vt:lpwstr>0x010100C5F30C9B16E14C8EACE5F2CC7B7AC7F400F5862E332FC6CE449700A00A9FC83FBA</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